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розпорядження</w:t>
      </w:r>
    </w:p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міського голови </w:t>
      </w:r>
    </w:p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"06" січня 2021 року №6-к</w:t>
      </w:r>
    </w:p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</w:p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</w:p>
    <w:p w:rsidR="00891C8C" w:rsidRDefault="00891C8C" w:rsidP="00891C8C">
      <w:pPr>
        <w:pStyle w:val="a3"/>
        <w:ind w:right="0" w:firstLine="5670"/>
        <w:rPr>
          <w:rFonts w:ascii="Times New Roman" w:hAnsi="Times New Roman"/>
          <w:sz w:val="24"/>
          <w:szCs w:val="24"/>
        </w:rPr>
      </w:pPr>
    </w:p>
    <w:p w:rsidR="00891C8C" w:rsidRPr="006507F1" w:rsidRDefault="00891C8C" w:rsidP="00891C8C">
      <w:pPr>
        <w:pStyle w:val="a3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6507F1">
        <w:rPr>
          <w:rFonts w:ascii="Times New Roman" w:hAnsi="Times New Roman"/>
          <w:b/>
          <w:sz w:val="24"/>
          <w:szCs w:val="24"/>
        </w:rPr>
        <w:t>Умови проведення конкурсу</w:t>
      </w:r>
    </w:p>
    <w:p w:rsidR="00891C8C" w:rsidRPr="006507F1" w:rsidRDefault="00891C8C" w:rsidP="00891C8C">
      <w:pPr>
        <w:pStyle w:val="a3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зайняття вакантної</w:t>
      </w:r>
      <w:r w:rsidRPr="006507F1">
        <w:rPr>
          <w:rFonts w:ascii="Times New Roman" w:hAnsi="Times New Roman"/>
          <w:b/>
          <w:sz w:val="24"/>
          <w:szCs w:val="24"/>
        </w:rPr>
        <w:t xml:space="preserve"> посад</w:t>
      </w:r>
      <w:r>
        <w:rPr>
          <w:rFonts w:ascii="Times New Roman" w:hAnsi="Times New Roman"/>
          <w:b/>
          <w:sz w:val="24"/>
          <w:szCs w:val="24"/>
        </w:rPr>
        <w:t xml:space="preserve">и начальника відділу </w:t>
      </w:r>
      <w:proofErr w:type="spellStart"/>
      <w:r>
        <w:rPr>
          <w:rFonts w:ascii="Times New Roman" w:hAnsi="Times New Roman"/>
          <w:b/>
          <w:sz w:val="24"/>
          <w:szCs w:val="24"/>
        </w:rPr>
        <w:t>енергоменеджменту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господарського забезпечення</w:t>
      </w:r>
      <w:r w:rsidRPr="006507F1">
        <w:rPr>
          <w:rFonts w:ascii="Times New Roman" w:hAnsi="Times New Roman"/>
          <w:b/>
          <w:sz w:val="24"/>
          <w:szCs w:val="24"/>
        </w:rPr>
        <w:t xml:space="preserve"> виконавчого комітету</w:t>
      </w:r>
    </w:p>
    <w:p w:rsidR="00891C8C" w:rsidRDefault="00891C8C" w:rsidP="00891C8C">
      <w:pPr>
        <w:pStyle w:val="a3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07F1">
        <w:rPr>
          <w:rFonts w:ascii="Times New Roman" w:hAnsi="Times New Roman"/>
          <w:b/>
          <w:sz w:val="24"/>
          <w:szCs w:val="24"/>
        </w:rPr>
        <w:t>Кіцманської</w:t>
      </w:r>
      <w:proofErr w:type="spellEnd"/>
      <w:r w:rsidRPr="006507F1">
        <w:rPr>
          <w:rFonts w:ascii="Times New Roman" w:hAnsi="Times New Roman"/>
          <w:b/>
          <w:sz w:val="24"/>
          <w:szCs w:val="24"/>
        </w:rPr>
        <w:t xml:space="preserve"> міської ради</w:t>
      </w:r>
    </w:p>
    <w:p w:rsidR="00891C8C" w:rsidRPr="006507F1" w:rsidRDefault="00891C8C" w:rsidP="00891C8C">
      <w:pPr>
        <w:pStyle w:val="a3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891C8C" w:rsidRDefault="00891C8C" w:rsidP="00891C8C">
      <w:pPr>
        <w:pStyle w:val="a3"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891C8C" w:rsidTr="00D7281E">
        <w:tc>
          <w:tcPr>
            <w:tcW w:w="9571" w:type="dxa"/>
            <w:gridSpan w:val="2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91C8C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Посадові обов'язки</w:t>
            </w:r>
          </w:p>
        </w:tc>
        <w:tc>
          <w:tcPr>
            <w:tcW w:w="6628" w:type="dxa"/>
          </w:tcPr>
          <w:p w:rsidR="00891C8C" w:rsidRPr="00982676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982676">
              <w:rPr>
                <w:lang w:val="uk-UA"/>
              </w:rPr>
              <w:t>. Забезпечення санітарно-гігієнічного стану території і внутрішніх площ адміністративного будинку;</w:t>
            </w:r>
          </w:p>
          <w:p w:rsidR="00891C8C" w:rsidRPr="00982676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82676">
              <w:rPr>
                <w:lang w:val="uk-UA"/>
              </w:rPr>
              <w:t xml:space="preserve">. Утримання систем: </w:t>
            </w:r>
            <w:proofErr w:type="spellStart"/>
            <w:r w:rsidRPr="00982676">
              <w:rPr>
                <w:lang w:val="uk-UA"/>
              </w:rPr>
              <w:t>тепло-</w:t>
            </w:r>
            <w:proofErr w:type="spellEnd"/>
            <w:r w:rsidRPr="00982676">
              <w:rPr>
                <w:lang w:val="uk-UA"/>
              </w:rPr>
              <w:t xml:space="preserve">, </w:t>
            </w:r>
            <w:proofErr w:type="spellStart"/>
            <w:r w:rsidRPr="00982676">
              <w:rPr>
                <w:lang w:val="uk-UA"/>
              </w:rPr>
              <w:t>електро-</w:t>
            </w:r>
            <w:proofErr w:type="spellEnd"/>
            <w:r w:rsidRPr="00982676">
              <w:rPr>
                <w:lang w:val="uk-UA"/>
              </w:rPr>
              <w:t>, водопостачання, каналізації у технічно справному стані;</w:t>
            </w:r>
          </w:p>
          <w:p w:rsidR="00891C8C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82676">
              <w:rPr>
                <w:lang w:val="uk-UA"/>
              </w:rPr>
              <w:t xml:space="preserve">. Забезпечення надійної, економічної, і безпечної роботи </w:t>
            </w:r>
            <w:proofErr w:type="spellStart"/>
            <w:r w:rsidRPr="00982676">
              <w:rPr>
                <w:lang w:val="uk-UA"/>
              </w:rPr>
              <w:t>енерго-</w:t>
            </w:r>
            <w:proofErr w:type="spellEnd"/>
            <w:r w:rsidRPr="00982676">
              <w:rPr>
                <w:lang w:val="uk-UA"/>
              </w:rPr>
              <w:t xml:space="preserve"> та електроустаткування;</w:t>
            </w:r>
          </w:p>
          <w:p w:rsidR="00891C8C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4. Здійснення моніторингу стану та розвитку галузі енергетики на території міста;</w:t>
            </w:r>
          </w:p>
          <w:p w:rsidR="00891C8C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5. Проведення аналізу існуючого стану справ щодо забезпечення міста енергоресурсами та прогнозування їх потреби;</w:t>
            </w:r>
          </w:p>
          <w:p w:rsidR="00891C8C" w:rsidRPr="00982676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Збір, аналіз та узагальнення інформації щодо ефективності використання енергоресурсів підприємствами ЖКГ та бюджетної сфери </w:t>
            </w:r>
            <w:proofErr w:type="spellStart"/>
            <w:r>
              <w:rPr>
                <w:lang w:val="uk-UA"/>
              </w:rPr>
              <w:t>міств</w:t>
            </w:r>
            <w:proofErr w:type="spellEnd"/>
            <w:r>
              <w:rPr>
                <w:lang w:val="uk-UA"/>
              </w:rPr>
              <w:t>;</w:t>
            </w:r>
          </w:p>
          <w:p w:rsidR="00891C8C" w:rsidRPr="00982676" w:rsidRDefault="00891C8C" w:rsidP="00D7281E">
            <w:pPr>
              <w:ind w:right="141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982676">
              <w:rPr>
                <w:lang w:val="uk-UA"/>
              </w:rPr>
              <w:t>. Організація контролю за раціональним використанням ресурсів в адміністративному будинку міської ради;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8</w:t>
            </w:r>
            <w:r w:rsidRPr="00982676">
              <w:rPr>
                <w:lang w:val="uk-UA"/>
              </w:rPr>
              <w:t>.</w:t>
            </w:r>
            <w:r w:rsidRPr="00982676">
              <w:rPr>
                <w:color w:val="333333"/>
                <w:lang w:val="uk-UA"/>
              </w:rPr>
              <w:t xml:space="preserve"> Організація контролю і забезпечення протипожежного стану приміщень міської ради;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9</w:t>
            </w:r>
            <w:r w:rsidRPr="00982676">
              <w:rPr>
                <w:color w:val="333333"/>
                <w:lang w:val="uk-UA"/>
              </w:rPr>
              <w:t xml:space="preserve">. Ремонт та обслуговування приміщень </w:t>
            </w:r>
            <w:proofErr w:type="spellStart"/>
            <w:r w:rsidRPr="00982676">
              <w:rPr>
                <w:color w:val="333333"/>
                <w:lang w:val="uk-UA"/>
              </w:rPr>
              <w:t>адмінбудинку</w:t>
            </w:r>
            <w:proofErr w:type="spellEnd"/>
            <w:r w:rsidRPr="00982676">
              <w:rPr>
                <w:color w:val="333333"/>
                <w:lang w:val="uk-UA"/>
              </w:rPr>
              <w:t xml:space="preserve"> міської ради;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</w:t>
            </w:r>
            <w:r w:rsidRPr="00982676">
              <w:rPr>
                <w:color w:val="333333"/>
                <w:lang w:val="uk-UA"/>
              </w:rPr>
              <w:t xml:space="preserve">. Матеріально-технічне забезпечення відділів </w:t>
            </w:r>
            <w:proofErr w:type="spellStart"/>
            <w:r w:rsidRPr="00982676">
              <w:rPr>
                <w:color w:val="333333"/>
              </w:rPr>
              <w:t>і</w:t>
            </w:r>
            <w:proofErr w:type="spellEnd"/>
            <w:r w:rsidRPr="00982676">
              <w:rPr>
                <w:color w:val="333333"/>
              </w:rPr>
              <w:t xml:space="preserve"> служб </w:t>
            </w:r>
            <w:proofErr w:type="spellStart"/>
            <w:r w:rsidRPr="00982676">
              <w:rPr>
                <w:color w:val="333333"/>
              </w:rPr>
              <w:t>міської</w:t>
            </w:r>
            <w:proofErr w:type="spellEnd"/>
            <w:r w:rsidRPr="00982676">
              <w:rPr>
                <w:color w:val="333333"/>
              </w:rPr>
              <w:t xml:space="preserve"> ради;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11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r w:rsidRPr="00982676">
              <w:rPr>
                <w:color w:val="333333"/>
              </w:rPr>
              <w:t>Зберігання</w:t>
            </w:r>
            <w:proofErr w:type="spellEnd"/>
            <w:r w:rsidRPr="00982676">
              <w:rPr>
                <w:color w:val="333333"/>
              </w:rPr>
              <w:t xml:space="preserve"> та </w:t>
            </w:r>
            <w:proofErr w:type="spellStart"/>
            <w:proofErr w:type="gramStart"/>
            <w:r w:rsidRPr="00982676">
              <w:rPr>
                <w:color w:val="333333"/>
              </w:rPr>
              <w:t>обл</w:t>
            </w:r>
            <w:proofErr w:type="gramEnd"/>
            <w:r w:rsidRPr="00982676">
              <w:rPr>
                <w:color w:val="333333"/>
              </w:rPr>
              <w:t>ік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товарно-матеріальних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цінностей</w:t>
            </w:r>
            <w:proofErr w:type="spellEnd"/>
            <w:r w:rsidRPr="00982676">
              <w:rPr>
                <w:color w:val="333333"/>
                <w:lang w:val="uk-UA"/>
              </w:rPr>
              <w:t>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r w:rsidRPr="00982676">
              <w:rPr>
                <w:color w:val="333333"/>
              </w:rPr>
              <w:t>Організація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господарського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забезпечення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проведення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сесій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міської</w:t>
            </w:r>
            <w:proofErr w:type="spellEnd"/>
            <w:r w:rsidRPr="00982676">
              <w:rPr>
                <w:color w:val="333333"/>
              </w:rPr>
              <w:t xml:space="preserve"> ради, </w:t>
            </w:r>
            <w:proofErr w:type="spellStart"/>
            <w:r w:rsidRPr="00982676">
              <w:rPr>
                <w:color w:val="333333"/>
              </w:rPr>
              <w:t>засідань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виконавчого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комітету</w:t>
            </w:r>
            <w:proofErr w:type="spellEnd"/>
            <w:r w:rsidRPr="00982676">
              <w:rPr>
                <w:color w:val="333333"/>
              </w:rPr>
              <w:t xml:space="preserve">, </w:t>
            </w:r>
            <w:proofErr w:type="spellStart"/>
            <w:r w:rsidRPr="00982676">
              <w:rPr>
                <w:color w:val="333333"/>
              </w:rPr>
              <w:t>нарад</w:t>
            </w:r>
            <w:proofErr w:type="spellEnd"/>
            <w:r w:rsidRPr="00982676">
              <w:rPr>
                <w:color w:val="333333"/>
              </w:rPr>
              <w:t xml:space="preserve"> та </w:t>
            </w:r>
            <w:proofErr w:type="spellStart"/>
            <w:r w:rsidRPr="00982676">
              <w:rPr>
                <w:color w:val="333333"/>
              </w:rPr>
              <w:t>інших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заходів</w:t>
            </w:r>
            <w:proofErr w:type="spellEnd"/>
            <w:r w:rsidRPr="00982676">
              <w:rPr>
                <w:color w:val="333333"/>
              </w:rPr>
              <w:t xml:space="preserve">, </w:t>
            </w:r>
            <w:proofErr w:type="spellStart"/>
            <w:r w:rsidRPr="00982676">
              <w:rPr>
                <w:color w:val="333333"/>
              </w:rPr>
              <w:t>що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проводяться</w:t>
            </w:r>
            <w:proofErr w:type="spellEnd"/>
            <w:r w:rsidRPr="00982676">
              <w:rPr>
                <w:color w:val="333333"/>
              </w:rPr>
              <w:t xml:space="preserve"> в </w:t>
            </w:r>
            <w:proofErr w:type="spellStart"/>
            <w:r w:rsidRPr="00982676">
              <w:rPr>
                <w:color w:val="333333"/>
              </w:rPr>
              <w:t>міській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раді</w:t>
            </w:r>
            <w:proofErr w:type="spellEnd"/>
            <w:r w:rsidRPr="00982676">
              <w:rPr>
                <w:color w:val="333333"/>
              </w:rPr>
              <w:t>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3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r w:rsidRPr="00982676">
              <w:rPr>
                <w:color w:val="333333"/>
              </w:rPr>
              <w:t>Належне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утримання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державних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символів</w:t>
            </w:r>
            <w:proofErr w:type="spellEnd"/>
            <w:r w:rsidRPr="00982676">
              <w:rPr>
                <w:color w:val="333333"/>
              </w:rPr>
              <w:t>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4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r w:rsidRPr="00982676">
              <w:rPr>
                <w:color w:val="333333"/>
              </w:rPr>
              <w:t>Забезпечення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gramStart"/>
            <w:r w:rsidRPr="00982676">
              <w:rPr>
                <w:color w:val="333333"/>
              </w:rPr>
              <w:t>автотранспортного</w:t>
            </w:r>
            <w:proofErr w:type="gram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обслуговування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посадових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осіб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міської</w:t>
            </w:r>
            <w:proofErr w:type="spellEnd"/>
            <w:r w:rsidRPr="00982676">
              <w:rPr>
                <w:color w:val="333333"/>
              </w:rPr>
              <w:t xml:space="preserve"> ради для </w:t>
            </w:r>
            <w:proofErr w:type="spellStart"/>
            <w:r w:rsidRPr="00982676">
              <w:rPr>
                <w:color w:val="333333"/>
              </w:rPr>
              <w:t>виконання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службових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повноважень</w:t>
            </w:r>
            <w:proofErr w:type="spellEnd"/>
            <w:r w:rsidRPr="00982676">
              <w:rPr>
                <w:color w:val="333333"/>
              </w:rPr>
              <w:t>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5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proofErr w:type="gramStart"/>
            <w:r w:rsidRPr="00982676">
              <w:rPr>
                <w:color w:val="333333"/>
              </w:rPr>
              <w:t>П</w:t>
            </w:r>
            <w:proofErr w:type="gramEnd"/>
            <w:r w:rsidRPr="00982676">
              <w:rPr>
                <w:color w:val="333333"/>
              </w:rPr>
              <w:t>ідготовка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проектів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розпорядчих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актів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міської</w:t>
            </w:r>
            <w:proofErr w:type="spellEnd"/>
            <w:r w:rsidRPr="00982676">
              <w:rPr>
                <w:color w:val="333333"/>
              </w:rPr>
              <w:t xml:space="preserve"> ради, </w:t>
            </w:r>
            <w:proofErr w:type="spellStart"/>
            <w:r w:rsidRPr="00982676">
              <w:rPr>
                <w:color w:val="333333"/>
              </w:rPr>
              <w:t>її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виконавчих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органів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і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міського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голови</w:t>
            </w:r>
            <w:proofErr w:type="spellEnd"/>
            <w:r w:rsidRPr="00982676">
              <w:rPr>
                <w:color w:val="333333"/>
              </w:rPr>
              <w:t>, в т.ч. нормативного характеру;</w:t>
            </w:r>
          </w:p>
          <w:p w:rsidR="00891C8C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6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r w:rsidRPr="00982676">
              <w:rPr>
                <w:color w:val="333333"/>
              </w:rPr>
              <w:t>Здійснення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розгляду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звернень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громадян</w:t>
            </w:r>
            <w:proofErr w:type="spellEnd"/>
            <w:r w:rsidRPr="00982676">
              <w:rPr>
                <w:color w:val="333333"/>
              </w:rPr>
              <w:t xml:space="preserve"> та </w:t>
            </w:r>
            <w:proofErr w:type="spellStart"/>
            <w:r w:rsidRPr="00982676">
              <w:rPr>
                <w:color w:val="333333"/>
              </w:rPr>
              <w:t>прийом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громадян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з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питань</w:t>
            </w:r>
            <w:proofErr w:type="spellEnd"/>
            <w:r w:rsidRPr="00982676">
              <w:rPr>
                <w:color w:val="333333"/>
              </w:rPr>
              <w:t xml:space="preserve">, </w:t>
            </w:r>
            <w:proofErr w:type="spellStart"/>
            <w:r w:rsidRPr="00982676">
              <w:rPr>
                <w:color w:val="333333"/>
              </w:rPr>
              <w:t>що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відносяться</w:t>
            </w:r>
            <w:proofErr w:type="spellEnd"/>
            <w:r w:rsidRPr="00982676">
              <w:rPr>
                <w:color w:val="333333"/>
              </w:rPr>
              <w:t xml:space="preserve"> до </w:t>
            </w:r>
            <w:proofErr w:type="spellStart"/>
            <w:r w:rsidRPr="00982676">
              <w:rPr>
                <w:color w:val="333333"/>
              </w:rPr>
              <w:t>компетенц</w:t>
            </w:r>
            <w:proofErr w:type="gramStart"/>
            <w:r w:rsidRPr="00982676">
              <w:rPr>
                <w:color w:val="333333"/>
              </w:rPr>
              <w:t>ії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В</w:t>
            </w:r>
            <w:proofErr w:type="gramEnd"/>
            <w:r w:rsidRPr="00982676">
              <w:rPr>
                <w:color w:val="333333"/>
              </w:rPr>
              <w:t>ідділу</w:t>
            </w:r>
            <w:proofErr w:type="spellEnd"/>
            <w:r w:rsidRPr="00982676">
              <w:rPr>
                <w:color w:val="333333"/>
              </w:rPr>
              <w:t xml:space="preserve"> за </w:t>
            </w:r>
            <w:proofErr w:type="spellStart"/>
            <w:r w:rsidRPr="00982676">
              <w:rPr>
                <w:color w:val="333333"/>
              </w:rPr>
              <w:t>необхідністю</w:t>
            </w:r>
            <w:proofErr w:type="spellEnd"/>
            <w:r w:rsidRPr="00982676">
              <w:rPr>
                <w:color w:val="333333"/>
              </w:rPr>
              <w:t>;</w:t>
            </w:r>
          </w:p>
          <w:p w:rsidR="00891C8C" w:rsidRPr="00982676" w:rsidRDefault="00891C8C" w:rsidP="00D7281E">
            <w:pPr>
              <w:ind w:right="141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7</w:t>
            </w:r>
            <w:r w:rsidRPr="00982676">
              <w:rPr>
                <w:color w:val="333333"/>
              </w:rPr>
              <w:t xml:space="preserve">. </w:t>
            </w:r>
            <w:proofErr w:type="spellStart"/>
            <w:r w:rsidRPr="00982676">
              <w:rPr>
                <w:color w:val="333333"/>
              </w:rPr>
              <w:t>Здійснення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інших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повноважень</w:t>
            </w:r>
            <w:proofErr w:type="spellEnd"/>
            <w:r w:rsidRPr="00982676">
              <w:rPr>
                <w:color w:val="333333"/>
              </w:rPr>
              <w:t xml:space="preserve">, </w:t>
            </w:r>
            <w:proofErr w:type="spellStart"/>
            <w:r w:rsidRPr="00982676">
              <w:rPr>
                <w:color w:val="333333"/>
              </w:rPr>
              <w:t>покладених</w:t>
            </w:r>
            <w:proofErr w:type="spellEnd"/>
            <w:r w:rsidRPr="00982676">
              <w:rPr>
                <w:color w:val="333333"/>
              </w:rPr>
              <w:t xml:space="preserve"> на</w:t>
            </w:r>
            <w:proofErr w:type="gramStart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В</w:t>
            </w:r>
            <w:proofErr w:type="gramEnd"/>
            <w:r w:rsidRPr="00982676">
              <w:rPr>
                <w:color w:val="333333"/>
              </w:rPr>
              <w:t>ідділ</w:t>
            </w:r>
            <w:proofErr w:type="spellEnd"/>
            <w:r w:rsidRPr="00982676">
              <w:rPr>
                <w:color w:val="333333"/>
              </w:rPr>
              <w:t xml:space="preserve"> </w:t>
            </w:r>
            <w:proofErr w:type="spellStart"/>
            <w:r w:rsidRPr="00982676">
              <w:rPr>
                <w:color w:val="333333"/>
              </w:rPr>
              <w:t>відповідно</w:t>
            </w:r>
            <w:proofErr w:type="spellEnd"/>
            <w:r w:rsidRPr="00982676">
              <w:rPr>
                <w:color w:val="333333"/>
              </w:rPr>
              <w:t xml:space="preserve"> до чинного </w:t>
            </w:r>
            <w:proofErr w:type="spellStart"/>
            <w:r w:rsidRPr="00982676">
              <w:rPr>
                <w:color w:val="333333"/>
              </w:rPr>
              <w:t>законодавства</w:t>
            </w:r>
            <w:proofErr w:type="spellEnd"/>
            <w:r w:rsidRPr="00982676">
              <w:rPr>
                <w:color w:val="333333"/>
              </w:rPr>
              <w:t>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Посадові обов'язки вказуються по посадовій інструкції працівника</w:t>
            </w:r>
          </w:p>
        </w:tc>
      </w:tr>
      <w:tr w:rsidR="00891C8C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Умови</w:t>
            </w:r>
            <w:proofErr w:type="spell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праці</w:t>
            </w:r>
            <w:proofErr w:type="spellEnd"/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Посадовий оклад - 6700 грн.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Надбавки та доплати відповідно до законодавства України.</w:t>
            </w:r>
          </w:p>
        </w:tc>
      </w:tr>
      <w:tr w:rsidR="00891C8C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строковість</w:t>
            </w:r>
            <w:proofErr w:type="spell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</w:t>
            </w:r>
            <w:proofErr w:type="spell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безстроковість</w:t>
            </w:r>
            <w:proofErr w:type="spell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призначення</w:t>
            </w:r>
            <w:proofErr w:type="spell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proofErr w:type="gramEnd"/>
            <w:r w:rsidRPr="006507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посаду</w:t>
            </w:r>
          </w:p>
        </w:tc>
        <w:tc>
          <w:tcPr>
            <w:tcW w:w="6628" w:type="dxa"/>
          </w:tcPr>
          <w:p w:rsidR="00891C8C" w:rsidRPr="008E5F57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Безстроково</w:t>
            </w:r>
            <w:proofErr w:type="spellEnd"/>
          </w:p>
        </w:tc>
      </w:tr>
      <w:tr w:rsidR="00891C8C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Копія паспорта громадянина України.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Письмова заява про участь у конкурсі.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Копії документів про освіту.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Заповнена особова картка встановленого зразка.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Декларація особи, уповноваженої на виконання функцій держави або місцевого самоврядування за минулий рік.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05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лютого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року включно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(особисто або поштою) за адресою: м. Кіцмань вул. Незалежності 57.</w:t>
            </w:r>
          </w:p>
        </w:tc>
      </w:tr>
      <w:tr w:rsidR="00891C8C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Місце, час та дата проведення конкурсу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буде проведений за адресою: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Кіцмань вул. Незалежності 57</w:t>
            </w:r>
          </w:p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іспит: 10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лютого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</w:p>
        </w:tc>
      </w:tr>
      <w:tr w:rsidR="00891C8C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Плешкан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Іванівна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22200</w:t>
            </w:r>
          </w:p>
        </w:tc>
      </w:tr>
      <w:tr w:rsidR="00891C8C" w:rsidTr="00D7281E">
        <w:tc>
          <w:tcPr>
            <w:tcW w:w="9571" w:type="dxa"/>
            <w:gridSpan w:val="2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91C8C" w:rsidRPr="00A83D11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 освіта за освітньо-кваліфікаційним рівнем бакалавра, спеціаліста або магістра.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8C" w:rsidRPr="001C2EDE" w:rsidTr="00D7281E">
        <w:tc>
          <w:tcPr>
            <w:tcW w:w="9571" w:type="dxa"/>
            <w:gridSpan w:val="2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28" w:type="dxa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628" w:type="dxa"/>
          </w:tcPr>
          <w:p w:rsidR="00891C8C" w:rsidRDefault="00891C8C" w:rsidP="00891C8C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працювати з інформацією</w:t>
            </w:r>
          </w:p>
          <w:p w:rsidR="00891C8C" w:rsidRDefault="00891C8C" w:rsidP="00891C8C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орієнтація та досягнення кінцевих результатів</w:t>
            </w:r>
          </w:p>
          <w:p w:rsidR="00891C8C" w:rsidRDefault="00891C8C" w:rsidP="00891C8C">
            <w:pPr>
              <w:pStyle w:val="a3"/>
              <w:numPr>
                <w:ilvl w:val="0"/>
                <w:numId w:val="1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вирішувати комплексні завдання</w:t>
            </w:r>
          </w:p>
        </w:tc>
      </w:tr>
      <w:tr w:rsidR="00891C8C" w:rsidRPr="00A83D11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628" w:type="dxa"/>
          </w:tcPr>
          <w:p w:rsidR="00891C8C" w:rsidRDefault="00891C8C" w:rsidP="00891C8C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працювати в команді</w:t>
            </w:r>
          </w:p>
          <w:p w:rsidR="00891C8C" w:rsidRDefault="00891C8C" w:rsidP="00891C8C">
            <w:pPr>
              <w:pStyle w:val="a3"/>
              <w:numPr>
                <w:ilvl w:val="0"/>
                <w:numId w:val="2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ефективної співпраці з іншими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Особистісні компетенції</w:t>
            </w:r>
          </w:p>
        </w:tc>
        <w:tc>
          <w:tcPr>
            <w:tcW w:w="6628" w:type="dxa"/>
          </w:tcPr>
          <w:p w:rsidR="00891C8C" w:rsidRDefault="00891C8C" w:rsidP="00891C8C">
            <w:pPr>
              <w:pStyle w:val="a3"/>
              <w:numPr>
                <w:ilvl w:val="0"/>
                <w:numId w:val="3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  <w:p w:rsidR="00891C8C" w:rsidRDefault="00891C8C" w:rsidP="00891C8C">
            <w:pPr>
              <w:pStyle w:val="a3"/>
              <w:numPr>
                <w:ilvl w:val="0"/>
                <w:numId w:val="3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уважність до деталей</w:t>
            </w:r>
          </w:p>
          <w:p w:rsidR="00891C8C" w:rsidRDefault="00891C8C" w:rsidP="00891C8C">
            <w:pPr>
              <w:pStyle w:val="a3"/>
              <w:numPr>
                <w:ilvl w:val="0"/>
                <w:numId w:val="3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ініціативність</w:t>
            </w:r>
          </w:p>
          <w:p w:rsidR="00891C8C" w:rsidRPr="001C2EDE" w:rsidRDefault="00891C8C" w:rsidP="00891C8C">
            <w:pPr>
              <w:pStyle w:val="a3"/>
              <w:numPr>
                <w:ilvl w:val="0"/>
                <w:numId w:val="3"/>
              </w:num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саморозвиток</w:t>
            </w:r>
          </w:p>
        </w:tc>
      </w:tr>
      <w:tr w:rsidR="00891C8C" w:rsidRPr="001C2EDE" w:rsidTr="00D7281E">
        <w:tc>
          <w:tcPr>
            <w:tcW w:w="9571" w:type="dxa"/>
            <w:gridSpan w:val="2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628" w:type="dxa"/>
          </w:tcPr>
          <w:p w:rsidR="00891C8C" w:rsidRPr="006507F1" w:rsidRDefault="00891C8C" w:rsidP="00D7281E">
            <w:pPr>
              <w:pStyle w:val="a3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91C8C" w:rsidRPr="001C2EDE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628" w:type="dxa"/>
          </w:tcPr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Конституція України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"Про місцеве самоврядування в Україні"</w:t>
            </w:r>
          </w:p>
          <w:p w:rsidR="00891C8C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"Про запобігання корупції"</w:t>
            </w:r>
          </w:p>
        </w:tc>
      </w:tr>
      <w:tr w:rsidR="00891C8C" w:rsidRPr="00A83D11" w:rsidTr="00D7281E">
        <w:tc>
          <w:tcPr>
            <w:tcW w:w="2943" w:type="dxa"/>
          </w:tcPr>
          <w:p w:rsidR="00891C8C" w:rsidRPr="006507F1" w:rsidRDefault="00891C8C" w:rsidP="00D7281E">
            <w:pPr>
              <w:pStyle w:val="a3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Знання спеціального законодавства, що пов'язане із завданнями та змістом роботи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начальника відділу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енергоменеджменту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господарського забезпечення</w:t>
            </w:r>
            <w:r w:rsidRPr="006507F1">
              <w:rPr>
                <w:rFonts w:ascii="Times New Roman" w:hAnsi="Times New Roman"/>
                <w:b/>
                <w:sz w:val="24"/>
                <w:szCs w:val="24"/>
              </w:rPr>
              <w:t xml:space="preserve"> відповідно до посадової інструкції (положення про структурний підрозділ)</w:t>
            </w:r>
          </w:p>
        </w:tc>
        <w:tc>
          <w:tcPr>
            <w:tcW w:w="6628" w:type="dxa"/>
          </w:tcPr>
          <w:p w:rsidR="00891C8C" w:rsidRPr="0068648A" w:rsidRDefault="00891C8C" w:rsidP="00D7281E">
            <w:pPr>
              <w:pStyle w:val="a3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8648A">
              <w:rPr>
                <w:rFonts w:ascii="Times New Roman" w:hAnsi="Times New Roman"/>
                <w:sz w:val="24"/>
                <w:szCs w:val="24"/>
              </w:rPr>
              <w:t xml:space="preserve">У своїй діяльності відділ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 рішеннями </w:t>
            </w:r>
            <w:proofErr w:type="spellStart"/>
            <w:r w:rsidRPr="0068648A">
              <w:rPr>
                <w:rFonts w:ascii="Times New Roman" w:hAnsi="Times New Roman"/>
                <w:sz w:val="24"/>
                <w:szCs w:val="24"/>
              </w:rPr>
              <w:t>Кіцманської</w:t>
            </w:r>
            <w:proofErr w:type="spellEnd"/>
            <w:r w:rsidRPr="0068648A">
              <w:rPr>
                <w:rFonts w:ascii="Times New Roman" w:hAnsi="Times New Roman"/>
                <w:sz w:val="24"/>
                <w:szCs w:val="24"/>
              </w:rPr>
              <w:t xml:space="preserve"> міської ради та її виконавчого комітету, розпорядженнями міського голови, іншими нормативними актами, що регулюють повноваження у сфері господарювання та енергетики</w:t>
            </w:r>
          </w:p>
        </w:tc>
      </w:tr>
    </w:tbl>
    <w:p w:rsidR="00891C8C" w:rsidRPr="006457BC" w:rsidRDefault="00891C8C" w:rsidP="00891C8C">
      <w:pPr>
        <w:pStyle w:val="a3"/>
        <w:ind w:right="0"/>
        <w:jc w:val="center"/>
        <w:rPr>
          <w:rFonts w:ascii="Times New Roman" w:hAnsi="Times New Roman"/>
          <w:sz w:val="24"/>
          <w:szCs w:val="24"/>
        </w:rPr>
      </w:pPr>
    </w:p>
    <w:p w:rsidR="009276E8" w:rsidRPr="00891C8C" w:rsidRDefault="009276E8">
      <w:pPr>
        <w:rPr>
          <w:lang w:val="uk-UA"/>
        </w:rPr>
      </w:pPr>
    </w:p>
    <w:sectPr w:rsidR="009276E8" w:rsidRPr="00891C8C" w:rsidSect="00F41E2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0D2"/>
    <w:multiLevelType w:val="hybridMultilevel"/>
    <w:tmpl w:val="39AE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509F"/>
    <w:multiLevelType w:val="hybridMultilevel"/>
    <w:tmpl w:val="A7B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077C"/>
    <w:multiLevelType w:val="hybridMultilevel"/>
    <w:tmpl w:val="9CB4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C8C"/>
    <w:rsid w:val="006864E1"/>
    <w:rsid w:val="00891C8C"/>
    <w:rsid w:val="0092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1C8C"/>
    <w:pPr>
      <w:ind w:right="-341"/>
    </w:pPr>
    <w:rPr>
      <w:rFonts w:ascii="Arial" w:hAnsi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91C8C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89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2747</Words>
  <Characters>1566</Characters>
  <Application>Microsoft Office Word</Application>
  <DocSecurity>0</DocSecurity>
  <Lines>13</Lines>
  <Paragraphs>8</Paragraphs>
  <ScaleCrop>false</ScaleCrop>
  <Company>diakov.net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2021-01-11T12:44:00Z</dcterms:created>
  <dcterms:modified xsi:type="dcterms:W3CDTF">2021-01-11T12:44:00Z</dcterms:modified>
</cp:coreProperties>
</file>