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40F6B" w:rsidRDefault="001A797F">
      <w:pPr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Додаток 2 </w:t>
      </w:r>
    </w:p>
    <w:p w:rsidR="00F40F6B" w:rsidRDefault="001A797F">
      <w:pPr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Перелік індикаторів цифрової </w:t>
      </w:r>
    </w:p>
    <w:p w:rsidR="00F40F6B" w:rsidRDefault="001A797F">
      <w:pPr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трансформації територіальної громади</w:t>
      </w:r>
    </w:p>
    <w:p w:rsidR="00F40F6B" w:rsidRDefault="00F40F6B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5"/>
        <w:tblW w:w="14565" w:type="dxa"/>
        <w:tblInd w:w="-8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45"/>
        <w:gridCol w:w="3495"/>
        <w:gridCol w:w="3810"/>
        <w:gridCol w:w="1035"/>
        <w:gridCol w:w="960"/>
        <w:gridCol w:w="1035"/>
        <w:gridCol w:w="1035"/>
        <w:gridCol w:w="1035"/>
        <w:gridCol w:w="1515"/>
      </w:tblGrid>
      <w:tr w:rsidR="00F40F6B">
        <w:trPr>
          <w:trHeight w:val="315"/>
        </w:trPr>
        <w:tc>
          <w:tcPr>
            <w:tcW w:w="645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з/п</w:t>
            </w:r>
          </w:p>
        </w:tc>
        <w:tc>
          <w:tcPr>
            <w:tcW w:w="3495" w:type="dxa"/>
            <w:vMerge w:val="restart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Назва пріоритетного напрямку</w:t>
            </w:r>
          </w:p>
        </w:tc>
        <w:tc>
          <w:tcPr>
            <w:tcW w:w="3810" w:type="dxa"/>
            <w:vMerge w:val="restart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Найменування індикатора</w:t>
            </w:r>
          </w:p>
        </w:tc>
        <w:tc>
          <w:tcPr>
            <w:tcW w:w="1035" w:type="dxa"/>
            <w:vMerge w:val="restart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Одиниця виміру</w:t>
            </w:r>
          </w:p>
        </w:tc>
        <w:tc>
          <w:tcPr>
            <w:tcW w:w="960" w:type="dxa"/>
            <w:vMerge w:val="restart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Базове</w:t>
            </w:r>
          </w:p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значення</w:t>
            </w:r>
          </w:p>
        </w:tc>
        <w:tc>
          <w:tcPr>
            <w:tcW w:w="3105" w:type="dxa"/>
            <w:gridSpan w:val="3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Цільові значення індикатора</w:t>
            </w:r>
          </w:p>
        </w:tc>
        <w:tc>
          <w:tcPr>
            <w:tcW w:w="1515" w:type="dxa"/>
            <w:vMerge w:val="restart"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Динаміка (+/-, %)</w:t>
            </w:r>
          </w:p>
        </w:tc>
      </w:tr>
      <w:tr w:rsidR="00F40F6B">
        <w:trPr>
          <w:trHeight w:val="300"/>
        </w:trPr>
        <w:tc>
          <w:tcPr>
            <w:tcW w:w="645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5" w:type="dxa"/>
            <w:vMerge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0" w:type="dxa"/>
            <w:vMerge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2025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2026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2027</w:t>
            </w:r>
          </w:p>
        </w:tc>
        <w:tc>
          <w:tcPr>
            <w:tcW w:w="1515" w:type="dxa"/>
            <w:vMerge/>
            <w:tcBorders>
              <w:top w:val="single" w:sz="5" w:space="0" w:color="000000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0F6B">
        <w:trPr>
          <w:trHeight w:val="1980"/>
        </w:trPr>
        <w:tc>
          <w:tcPr>
            <w:tcW w:w="645" w:type="dxa"/>
            <w:vMerge w:val="restart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49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Аналіз наявності та стану даних територіальної громади</w:t>
            </w:r>
          </w:p>
        </w:tc>
        <w:tc>
          <w:tcPr>
            <w:tcW w:w="381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Аналіз наявних даних, зокрема публічної інформації у форматі відкритих даних, що збирається, створюється та обробляється розпорядниками інформації, а також визначення методів та шляхів роботи з цією ін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формацією, створення ефективної системи взаємодії з інформацією. Оцінка існуючої цифрової інфраструктури, рівня цифрової грамотності громадян і доступності адміністративних послуг для виявлення потреб у їх удосконаленні.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33,3%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33,3%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33,4%</w:t>
            </w:r>
          </w:p>
        </w:tc>
        <w:tc>
          <w:tcPr>
            <w:tcW w:w="151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264"/>
        </w:trPr>
        <w:tc>
          <w:tcPr>
            <w:tcW w:w="645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0F6B">
        <w:trPr>
          <w:trHeight w:val="300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Відкрита громада онлайн</w:t>
            </w:r>
          </w:p>
          <w:p w:rsidR="00F40F6B" w:rsidRDefault="00F40F6B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Запровадження електронних звернень, петицій та консультацій передбачає вивчення потреб громади, розробку або адаптацію відповідної платформи, її інтеграцію з адміністративними системами, навчання працівників та проведення інформаційної кампанії для мешканц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ів. Після запуску інструменти проходять тестування, збір відгуків та вдосконалення. Це сприяє прозорій і ефективній комунікації між органами влади та громадянами.</w:t>
            </w: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55,5%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22,3%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510"/>
        </w:trPr>
        <w:tc>
          <w:tcPr>
            <w:tcW w:w="645" w:type="dxa"/>
            <w:vMerge w:val="restart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3</w:t>
            </w:r>
          </w:p>
        </w:tc>
        <w:tc>
          <w:tcPr>
            <w:tcW w:w="349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Розробка та впровадження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брендбуку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громади.</w:t>
            </w:r>
          </w:p>
        </w:tc>
        <w:tc>
          <w:tcPr>
            <w:tcW w:w="381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Розробка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брендбуку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громади та гербів кожного населеного пункту в рамках плану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цифровізації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формування єдиного стилю та комунікаційної стратегії, яка сприятиме підвищенню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впізнаваності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 привабливості громади серед місцевих жителів, інвесторів і турист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ів.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Цифровізація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брендбуку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дозволить інтегрувати його стиль у всі цифрові комунікації громади, забезпечуючи єдність візуального та комунікаційного представлення в онлайн-просторі.</w:t>
            </w: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55,5%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22,3%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22,2%</w:t>
            </w:r>
          </w:p>
        </w:tc>
        <w:tc>
          <w:tcPr>
            <w:tcW w:w="151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280"/>
        </w:trPr>
        <w:tc>
          <w:tcPr>
            <w:tcW w:w="645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F40F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0F6B">
        <w:trPr>
          <w:trHeight w:val="156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4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Медіа кампанія для поширення інформації про діяльність громади в контексті реалізації плану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цифровізації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Розробка медіа кампанії для інформування мешканців, інвесторів та туристів про ключові події,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проєкти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 досягнення громади з метою підвищення їх обізнаності. Кампанія має включати активне використання соціальних мереж, офіційного сайту громади та співпрац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ю з медіа для забезпечення максимальної прозорості та залучення широкої аудиторії.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37,5%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31,25%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31,25%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1905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Розширення цифрових комунікаційних каналів: створення інформаційних чат-ботів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Viber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для територіальної громади та впровадження онлайн-системи оплати за послуги громади.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наявних чат ботах впровадження онлайн-системи оплати за послуги громади таких як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сміт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тя,податки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 інші послуги через платіжну систему.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37,0%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31,5%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31,5%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1245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Впровадження CRM-системи для автоматизації управлінських процесів у міської раді.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Проект передбачає впровадження CRM-системи для автоматизації управлінських процесів міської ради, що охоплює адміністрування податків, облік, ведення електронної господарської книги, управління завданнями та моніторинг роботи працівників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ЦНАПу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525"/>
        </w:trPr>
        <w:tc>
          <w:tcPr>
            <w:tcW w:w="645" w:type="dxa"/>
            <w:vMerge w:val="restart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349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Запровадження системи електронного голосування для депутатів.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Набір послуг з розробки, налаштування та впровадження програмного забезпечення для системи електронного голосування.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57,7%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23,3%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19,0%</w:t>
            </w:r>
          </w:p>
        </w:tc>
        <w:tc>
          <w:tcPr>
            <w:tcW w:w="151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1710"/>
        </w:trPr>
        <w:tc>
          <w:tcPr>
            <w:tcW w:w="645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Придбання комп'ютерної техніки для системи електронного голосування.</w:t>
            </w: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0F6B">
        <w:trPr>
          <w:trHeight w:val="315"/>
        </w:trPr>
        <w:tc>
          <w:tcPr>
            <w:tcW w:w="645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Технічне адміністрування системи електронного голосування.</w:t>
            </w: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0F6B">
        <w:trPr>
          <w:trHeight w:val="75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>8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>Впровадження QR-кодів в громаді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Запровадження у закладах освіти можливості швидкого та зручного доступу до послуг через сканування QR-кодів, що дозволить скоротити час на очікування та оформлення документів.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33,4%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1845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>9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 xml:space="preserve">Покращення через відкриті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>Wi-Fi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 xml:space="preserve"> зони.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 xml:space="preserve">Покращити зони доступу до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Wi-Fi</w:t>
            </w:r>
            <w:proofErr w:type="spellEnd"/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 xml:space="preserve"> в наступних установах: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1.Заклади середньої освіти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2.ЦНАП, їх територіальні підрозділи та відділи реєстрації місця проживання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3.Бібліотеки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 xml:space="preserve">4.Пункти незламності 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42,9%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57,1%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147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>10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>Формування навичок цифрової грамотності.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 xml:space="preserve">Забезпечення проведення освітніх заходів для населення з метою підвищення рівня цифрової компетентності. Завдання передбачає навчання громадськості використанню сучасних інформаційних технологій, онлайн-сервісів та 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електронних державних послуг. Учасникам надаються практичні знання і навички для безпечної та ефективної взаємодії з цифровим середовищем, включаючи питання захисту персональних даних та електронної комунікації.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33,4%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15"/>
        </w:trPr>
        <w:tc>
          <w:tcPr>
            <w:tcW w:w="645" w:type="dxa"/>
            <w:vMerge w:val="restart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lastRenderedPageBreak/>
              <w:t>11</w:t>
            </w:r>
          </w:p>
        </w:tc>
        <w:tc>
          <w:tcPr>
            <w:tcW w:w="349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 xml:space="preserve">Занесення метаданих до Національного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>геопорталу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>.</w:t>
            </w:r>
          </w:p>
        </w:tc>
        <w:tc>
          <w:tcPr>
            <w:tcW w:w="381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Реєстрація завершена.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Верифікація даних: Провести перевірку через відповідальні органи, такі як геодезисти та картографи.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Інтеграція та навчання: Забезпечити інтеграцію даних з іншими платформами та організувати навчання персоналу для роботи з системою.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Оцінка даних: Здійснити аналіз містобудівних, землевпорядних та топографічних документів для реєстрації.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Підготовка метадани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 xml:space="preserve">х: Привести документи у відповідність до стандартів метаданих Національного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геопорталу</w:t>
            </w:r>
            <w:proofErr w:type="spellEnd"/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Реєстрація: Подати підготовлені дані на реєстрацію в систему порталу.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Навчання та підтримка: Провести навчання для відповідальних осіб та забезпечити технічну підтримку.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Так/Ні</w:t>
            </w:r>
          </w:p>
        </w:tc>
        <w:tc>
          <w:tcPr>
            <w:tcW w:w="960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Ні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515" w:type="dxa"/>
            <w:vMerge w:val="restart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225"/>
        </w:trPr>
        <w:tc>
          <w:tcPr>
            <w:tcW w:w="645" w:type="dxa"/>
            <w:vMerge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1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F40F6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  <w:vMerge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0F6B" w:rsidRDefault="00F40F6B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40F6B">
        <w:trPr>
          <w:trHeight w:val="4125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12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Включення комунальних спортивних споруд до реєстру.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Оцінка стану спортивних об'єктів – перевірка всіх комунальних споруд та їх технічного стану.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Розробка вимог – встановлення критеріїв для включення об'єктів до Реєстру.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Інформування власників – проведення інформаційних кампаній та консультацій для власників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 xml:space="preserve"> щодо необхідності включення об'єктів.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Підтримка власників – надання допомоги у зборі документів та поданні необхідної інформації.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Додавання до Реєстру – створення платформи для збору та обробки даних.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Оновлення та перевірка – регулярне оновлення даних у Р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еєстрі.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Публікація Реєстру – забезпечення відкритого доступу до інформації для громадян.</w:t>
            </w: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Так/Ні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Ні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189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Занесення та перевірка інформації в реєстрі нерухомої спадщини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єПам'ятка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 xml:space="preserve">Розробка онлайн-системи для подачі заявок від власників спортивних споруд та внесення об'єктів нерухомості до Реєстру </w:t>
            </w:r>
            <w:proofErr w:type="spellStart"/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єПам'ятка</w:t>
            </w:r>
            <w:proofErr w:type="spellEnd"/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, верифікація прав власності та історичних даних, оцінка технічного стану, комунікація щодо статусу заявок, реєстрація пам'яток ч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 xml:space="preserve">ерез електронні платформи, інформування громади та постійний моніторинг стану об'єктів з наданням підтримки для поліпшення 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lastRenderedPageBreak/>
              <w:t>інфраструктури.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Так/Ні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Ні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435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lastRenderedPageBreak/>
              <w:t>14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111A18"/>
                <w:sz w:val="20"/>
                <w:szCs w:val="20"/>
              </w:rPr>
              <w:t xml:space="preserve">Підсистема «Кейс-менеджмент» (соціальна 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Оцінка потреб клієнтів та розробка індивідуальних планів допомоги дозволяють надати цілеспрямовану допомогу, що відповідає реальним потребам. Залучення фахівців з різних сфер сприятиме комплексному підходу до вирішення проблем, що виникають у клієнтів. Рег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улярний моніторинг ситуації клієнтів і оновлення їхніх карток допомагають своєчасно реагувати на зміни в обставинах.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Так/Ні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Ні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435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15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Верифікація заявок спортивних споруд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Розробка онлайн-платформи для заявок передбачає створення зручної форми для подачі заявок власниками спортивних споруд через портал або CRM-систему. Наступним кроком є верифікація власників, яка полягає в підтвердженні прав власності на об'єкти через докум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енти або перевірку в державних реєстрах. Після цього здійснюється аналіз заявок, який включає перевірку технічного стану споруд та відповідність вимогам безпеки. Власників інформують про статус їхніх заявок та надають рекомендації щодо подальших дій. Окрім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 xml:space="preserve"> цього, надається підтримка у вигляді дозволів і допомоги в покращенні інфраструктури, а також участі у програмах фінансової та технічної підтримки для розвитку спортивних об'єктів.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Так/Ні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Ні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+0</w:t>
            </w:r>
          </w:p>
        </w:tc>
      </w:tr>
      <w:tr w:rsidR="00F40F6B">
        <w:trPr>
          <w:trHeight w:val="300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ТГ успішно завершила курс з навчання по адресному реєстру (ЄДРА).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Оцінка потреб та рівня знань працівників територіальної громади стосовно ЄДРА.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Розробка програми навчання та організація тренінгів для співробітників.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Інтеграція навчального процесу з реальн</w:t>
            </w: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ими операціями обробки даних.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  <w:t>Моніторинг ефективності навчання та коригування методів.</w:t>
            </w: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color w:val="111A18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Так/Ні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Ні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90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Кіберсвідомість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 формування навичок безпечної онлайн-поведінки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Проведення тренінгів 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кібербезпеки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кібергігієни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передбачає організацію навчальних заходів, спрямованих на підвищення рівня поінформованості працівників щодо захисту конфіденційної інформації, запобігання кібератакам та дотримання правил цифрової безпек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и. У ході навчання учасники отримують практичні поради, знайомляться з реальними прикладами з практики та опановують ефективні інструменти для зниження ризиків при роботі з інформаційними 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Так/Ні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Ні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Так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90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Мобільна валіза цифровий кейс для виїзного обслуговування жителів громади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Створення та впровадження мобільного комплекту (Мобільна валіза) для надання адміністративних та соціальних послуг жителям громади у віддалених населених пунктах,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маломобільним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група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 населення та під час виїзних прийомів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88,6%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11,4%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90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Оснащення технікою закладів освіти та міської ради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Підвищення грамотності, впроваджування цифрових сервісів в освітньому процесі (електронні щоденники, онлайн-заняття, цифрові лабораторії тощо);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Оптимізація роботи міської ради — зокрема, пришвидшити обробку документів, покращити надання адміністративних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слуг та комунікацію з громадянами;</w:t>
            </w:r>
          </w:p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Підвищити рівень прозорості та відкритості влади через використання цифрових інструментів.</w:t>
            </w:r>
          </w:p>
          <w:p w:rsidR="00F40F6B" w:rsidRDefault="00F40F6B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90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Обслуговування існуючих програмних комплексів та АІС.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Забезпечено безперебійне функціонування впроваджених програмних комплексів та автоматизованих інформаційних систем (АІС), які використовуються в роботі міської ради. Завдяки регулярному технічному обслуговуванню, оновленню програмного забезпечення, підтрим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ці серверної інфраструктури та заходам 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кібербезпеки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, системи працюють стабільно, відповідають сучасним вимогам та забезпечують належний рівень цифрової безпеки.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33,4%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33,3%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90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21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Досконалення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сайту громади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Вдосконалення сайту громади. Покращення дизайну, адаптованого під мобільні пристрої, що дозволить людям легко орієнтуватися на сайті та швидко знаходити необхідну інформацію — від новин громади до послуг та контактів органів влади.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90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Закупівля камер відеоспостереження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Закупівля камер  в громаді дозволить значно покращити безпеку мешканців та забезпечити ефективний моніторинг ключових територій, зокрема лісопарку та аварійно-небезпечних ділянок.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47,8%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47,8%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4,4%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F40F6B">
        <w:trPr>
          <w:trHeight w:val="3900"/>
        </w:trPr>
        <w:tc>
          <w:tcPr>
            <w:tcW w:w="645" w:type="dxa"/>
            <w:tcBorders>
              <w:top w:val="single" w:sz="5" w:space="0" w:color="CCCCCC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349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Закупівля та установка сервера у ЦНАП</w:t>
            </w:r>
          </w:p>
        </w:tc>
        <w:tc>
          <w:tcPr>
            <w:tcW w:w="381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Додавання сервера до ЦНАП дозволить покращити обробку та зберігання даних, забезпечити стабільну роботу систем для надання адміністративних послуг, а також підвищити ефективність взаємодії з іншими електронними реєстрами та системами.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60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81,3%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9,4%</w:t>
            </w:r>
          </w:p>
        </w:tc>
        <w:tc>
          <w:tcPr>
            <w:tcW w:w="103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9,3%</w:t>
            </w:r>
          </w:p>
        </w:tc>
        <w:tc>
          <w:tcPr>
            <w:tcW w:w="1515" w:type="dxa"/>
            <w:tcBorders>
              <w:top w:val="single" w:sz="5" w:space="0" w:color="CCCCCC"/>
              <w:left w:val="single" w:sz="5" w:space="0" w:color="CCCCCC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F40F6B" w:rsidRDefault="001A797F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F40F6B" w:rsidRDefault="00F40F6B">
      <w:pPr>
        <w:rPr>
          <w:rFonts w:ascii="Times New Roman" w:eastAsia="Times New Roman" w:hAnsi="Times New Roman" w:cs="Times New Roman"/>
          <w:sz w:val="20"/>
          <w:szCs w:val="20"/>
        </w:rPr>
      </w:pPr>
    </w:p>
    <w:sectPr w:rsidR="00F40F6B">
      <w:headerReference w:type="default" r:id="rId6"/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797F" w:rsidRDefault="001A797F">
      <w:pPr>
        <w:spacing w:line="240" w:lineRule="auto"/>
      </w:pPr>
      <w:r>
        <w:separator/>
      </w:r>
    </w:p>
  </w:endnote>
  <w:endnote w:type="continuationSeparator" w:id="0">
    <w:p w:rsidR="001A797F" w:rsidRDefault="001A79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797F" w:rsidRDefault="001A797F">
      <w:pPr>
        <w:spacing w:line="240" w:lineRule="auto"/>
      </w:pPr>
      <w:r>
        <w:separator/>
      </w:r>
    </w:p>
  </w:footnote>
  <w:footnote w:type="continuationSeparator" w:id="0">
    <w:p w:rsidR="001A797F" w:rsidRDefault="001A79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F6B" w:rsidRDefault="00F40F6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F6B"/>
    <w:rsid w:val="001A797F"/>
    <w:rsid w:val="00480983"/>
    <w:rsid w:val="00F4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C05B07-56E9-4DB0-82A9-67E533733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1333</Words>
  <Characters>9069</Characters>
  <Application>Microsoft Office Word</Application>
  <DocSecurity>0</DocSecurity>
  <Lines>201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2025-09-12T12:52:00Z</dcterms:created>
  <dcterms:modified xsi:type="dcterms:W3CDTF">2025-09-12T12:52:00Z</dcterms:modified>
</cp:coreProperties>
</file>