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E0B" w:rsidRPr="00D631FF" w:rsidRDefault="00A45E0B" w:rsidP="002B521E">
      <w:pPr>
        <w:ind w:left="5940"/>
        <w:rPr>
          <w:lang w:val="uk-UA"/>
        </w:rPr>
      </w:pPr>
      <w:r>
        <w:rPr>
          <w:lang w:val="uk-UA"/>
        </w:rPr>
        <w:t xml:space="preserve">                 </w:t>
      </w:r>
      <w:r w:rsidRPr="007B6EA5">
        <w:rPr>
          <w:lang w:val="uk-UA"/>
        </w:rPr>
        <w:t>Д</w:t>
      </w:r>
      <w:r w:rsidRPr="00D631FF">
        <w:rPr>
          <w:lang w:val="uk-UA"/>
        </w:rPr>
        <w:t xml:space="preserve">одаток </w:t>
      </w:r>
      <w:r>
        <w:rPr>
          <w:lang w:val="uk-UA"/>
        </w:rPr>
        <w:t>1</w:t>
      </w:r>
    </w:p>
    <w:p w:rsidR="00A45E0B" w:rsidRPr="00D631FF" w:rsidRDefault="00A45E0B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>до рішення</w:t>
      </w:r>
    </w:p>
    <w:p w:rsidR="00A45E0B" w:rsidRPr="00D631FF" w:rsidRDefault="00A45E0B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 xml:space="preserve">виконавчого комітету </w:t>
      </w:r>
    </w:p>
    <w:p w:rsidR="00A45E0B" w:rsidRPr="00D631FF" w:rsidRDefault="00A45E0B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 xml:space="preserve">Кіцманської міської ради </w:t>
      </w:r>
    </w:p>
    <w:p w:rsidR="00A45E0B" w:rsidRDefault="00A45E0B" w:rsidP="009E104E">
      <w:pPr>
        <w:ind w:left="5940"/>
        <w:jc w:val="both"/>
        <w:rPr>
          <w:lang w:val="uk-UA"/>
        </w:rPr>
      </w:pPr>
      <w:r>
        <w:rPr>
          <w:lang w:val="uk-UA"/>
        </w:rPr>
        <w:t xml:space="preserve">                 </w:t>
      </w:r>
      <w:r w:rsidRPr="00D631FF">
        <w:rPr>
          <w:lang w:val="uk-UA"/>
        </w:rPr>
        <w:t xml:space="preserve">від </w:t>
      </w:r>
      <w:r>
        <w:rPr>
          <w:lang w:val="uk-UA"/>
        </w:rPr>
        <w:t>____</w:t>
      </w:r>
      <w:r w:rsidRPr="00D631FF">
        <w:rPr>
          <w:lang w:val="uk-UA"/>
        </w:rPr>
        <w:t>20</w:t>
      </w:r>
      <w:r>
        <w:rPr>
          <w:lang w:val="uk-UA"/>
        </w:rPr>
        <w:t>24</w:t>
      </w:r>
      <w:r w:rsidRPr="00D631FF">
        <w:rPr>
          <w:lang w:val="uk-UA"/>
        </w:rPr>
        <w:t xml:space="preserve"> №</w:t>
      </w:r>
      <w:r>
        <w:rPr>
          <w:lang w:val="uk-UA"/>
        </w:rPr>
        <w:t xml:space="preserve"> </w:t>
      </w:r>
      <w:r>
        <w:rPr>
          <w:lang w:val="uk-UA"/>
        </w:rPr>
        <w:softHyphen/>
      </w:r>
      <w:r>
        <w:rPr>
          <w:lang w:val="uk-UA"/>
        </w:rPr>
        <w:softHyphen/>
      </w:r>
      <w:r>
        <w:rPr>
          <w:lang w:val="uk-UA"/>
        </w:rPr>
        <w:softHyphen/>
        <w:t>____</w:t>
      </w:r>
    </w:p>
    <w:p w:rsidR="00A45E0B" w:rsidRPr="00224B79" w:rsidRDefault="00A45E0B" w:rsidP="00224B79">
      <w:pPr>
        <w:pStyle w:val="a0"/>
        <w:spacing w:before="0" w:after="0"/>
        <w:ind w:left="510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A45E0B" w:rsidRPr="00224B79" w:rsidRDefault="00A45E0B" w:rsidP="00224B79">
      <w:pPr>
        <w:pStyle w:val="a0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</w:t>
      </w:r>
      <w:r w:rsidRPr="00224B79">
        <w:rPr>
          <w:rFonts w:ascii="Times New Roman" w:hAnsi="Times New Roman"/>
          <w:sz w:val="24"/>
          <w:szCs w:val="24"/>
        </w:rPr>
        <w:br/>
        <w:t>реформування системи шкільного харчування у Кіцманській територіальній громаді на період до 2027 року</w:t>
      </w:r>
    </w:p>
    <w:p w:rsidR="00A45E0B" w:rsidRPr="00224B79" w:rsidRDefault="00A45E0B" w:rsidP="00224B79">
      <w:pPr>
        <w:pStyle w:val="a0"/>
        <w:tabs>
          <w:tab w:val="center" w:pos="4677"/>
          <w:tab w:val="left" w:pos="8430"/>
        </w:tabs>
        <w:jc w:val="left"/>
        <w:rPr>
          <w:rFonts w:ascii="Times New Roman" w:hAnsi="Times New Roman"/>
          <w:sz w:val="24"/>
          <w:szCs w:val="24"/>
        </w:rPr>
      </w:pPr>
      <w:bookmarkStart w:id="0" w:name="_heading=h.mdiopbf7zci"/>
      <w:bookmarkEnd w:id="0"/>
      <w:r w:rsidRPr="00224B79">
        <w:rPr>
          <w:rFonts w:ascii="Times New Roman" w:hAnsi="Times New Roman"/>
          <w:sz w:val="24"/>
          <w:szCs w:val="24"/>
        </w:rPr>
        <w:tab/>
        <w:t>Опис проблем, які обумовили прийняття цієї Стратегії</w:t>
      </w:r>
      <w:r w:rsidRPr="00224B79">
        <w:rPr>
          <w:rFonts w:ascii="Times New Roman" w:hAnsi="Times New Roman"/>
          <w:sz w:val="24"/>
          <w:szCs w:val="24"/>
        </w:rPr>
        <w:tab/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 реформування системи шкільного харчування в Кіцманській територіальній громаді на період до 2027 року розроблена відповідно Конституції України, Закону України “Про освіту”, Указу Президента України від 25 травня 2020 р. № 195 “Про Національну стратегію розбудови безпечного і здорового освітнього середовища у новій українській школі”, Концепції реалізації державної політики у сфері реформування загальної середньої освіти “Нова українська школа” на період до 2029 року, схваленої розпорядженням Кабінету Міністрів України від 14 грудня 2016 р. № 988 та Стратегії реформування системи шкільного харчування на період до 2027 року (далі — Стратегія), схваленої розпорядженням Кабінету Міністрів України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4B79">
        <w:rPr>
          <w:rFonts w:ascii="Times New Roman" w:hAnsi="Times New Roman"/>
          <w:sz w:val="24"/>
          <w:szCs w:val="24"/>
        </w:rPr>
        <w:t>від 27 жовтня 2023 р. № 990-р.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Необхідність підготовки Стратегії викликана завершенням виконання плану заходів з реформування системи шкільного харчування, затвердженого розпорядженням Кабінету Міністрів України від 5 серпня 2020 р. № 1008. Зокрема, розроблення Стратегії зумовлено необхідністю планування та розвитку наступних етапів реформи системи шкільного харчування з урахуванням здобутих за попередні періоди досягнень, розв’язання невирішених проблем, а також наслідків повномасштабного вторгнення Російської Федерації на територію України, про які свідчать соціологічні дослідження та опитування закладів освіти.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Так, актуальними проблемами залишаються неналежні умови організації достатнього, якісного, безпечного, збалансованого харчування у закладах освіти, а також відсутність у більшості дітей звичок здорового харчування.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Основними причинами зазначених проблем, що потребують вирішення протягом 2023—2027 років, є: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недостатність обсягів місцевих бюджетів в умовах повномасштабного вторгнення Російської Федерації на територію України забезпечувати виконання норм харчування в закладах освіти;</w:t>
      </w:r>
    </w:p>
    <w:p w:rsidR="00A45E0B" w:rsidRPr="00224B79" w:rsidRDefault="00A45E0B" w:rsidP="00224B79">
      <w:pPr>
        <w:tabs>
          <w:tab w:val="left" w:pos="930"/>
        </w:tabs>
        <w:spacing w:line="240" w:lineRule="auto"/>
      </w:pP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підвищення вартості харчування, що обумовлено процесом інфляції та зниження платоспроможності батьків, через що все менше учнів відвідують шкільні їдальні;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застарілість або пошкодженість обладнання та харчоблоків, що не дозволяє використовувати сучасні технології приготування страв і забезпечувати дотримання принципів системи аналізу небезпечних факторів та контролю у критичних точках (НАССР) (далі — система НАССР), відповідно є потреба у відновленні, комплексній модернізації та ремонтних роботах;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перешкоджання енергетичної кризи та повітряних тривог організації харчування в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нестача кухарів, інших працівників на кухні, а також сестер медичних з дієтичного харчування для організації харчування учнів (вихованців) в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потреба в додатковому навчанні працівників закладів освіти та підприємств, що надають послуги з організації харчування закладам освіти, на тему організації харчування (зокрема щодо впровадження нових норм харчування, складення та виконання меню);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відмова дітей від шкільного харчування через сформовані неправильні харчові звички.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Подальший розвиток реформи системи шкільного харчування зумовлений, зокрема: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змінами мережі закладів освіти та їх учнівського контингенту;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зростанням цін на харчові продукти та зниженням рівня спроможності місцевого самоврядування забезпечувати харчуванням учнів згідно з нормами;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змінами ринку постачальників харчових продуктів та послуг з організації харчування;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недостатністю штатних працівників закладів освіти та потребою в розвитку професійних компетентностей кадрового складу закладів освіти та органів управління освітою;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воєнними загрозами, зокрема соціальній та енергетичній інфраструктурі;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необхідністю зміни харчових уподобань громадян, зокрема дітей, заради зміцнення фізичного та психічного здоров’я.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 ґрунтується на аналітичному звіті про стан організації харчування в закладах освіти до повномасштабного вторгнення Російської Федерації на територію України та після, а також визначенні ключових проблем.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Стратегія містить бачення, стратегічні та операційні цілі розвитку реформи системи шкільного харчування на період до 2027 року, зокрема за такими ключовими напрямами: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організація якісного та безпечного харчування: закупівлі та фінансування;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відновлення та модернізація харчоблоків: комплексний підхід. Дотримання вимог системи НАССР;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розвиток кадрового потенціалу;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впровадження нових норм харчування, меню, а також формування культури здорового харчування.</w:t>
      </w:r>
      <w:bookmarkStart w:id="1" w:name="_heading=h.kw8pecgzhvl0"/>
      <w:bookmarkEnd w:id="1"/>
    </w:p>
    <w:p w:rsidR="00A45E0B" w:rsidRPr="00224B79" w:rsidRDefault="00A45E0B" w:rsidP="00224B79">
      <w:pPr>
        <w:pStyle w:val="a0"/>
        <w:rPr>
          <w:rFonts w:ascii="Times New Roman" w:hAnsi="Times New Roman"/>
          <w:sz w:val="24"/>
          <w:szCs w:val="24"/>
        </w:rPr>
      </w:pPr>
      <w:bookmarkStart w:id="2" w:name="_heading=h.ys9wnl77bxhr"/>
      <w:bookmarkStart w:id="3" w:name="_heading=h.o9kumodykfg5"/>
      <w:bookmarkEnd w:id="2"/>
      <w:bookmarkEnd w:id="3"/>
      <w:r w:rsidRPr="00224B79">
        <w:rPr>
          <w:rFonts w:ascii="Times New Roman" w:hAnsi="Times New Roman"/>
          <w:sz w:val="24"/>
          <w:szCs w:val="24"/>
        </w:rPr>
        <w:t>Стратегічні цілі, завдання та показники їх досягнення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bookmarkStart w:id="4" w:name="_heading=h.1mfz0aa204f4"/>
      <w:bookmarkStart w:id="5" w:name="_heading=h.2et92p0"/>
      <w:bookmarkEnd w:id="4"/>
      <w:bookmarkEnd w:id="5"/>
      <w:r w:rsidRPr="00224B79">
        <w:rPr>
          <w:rFonts w:ascii="Times New Roman" w:hAnsi="Times New Roman"/>
          <w:sz w:val="24"/>
          <w:szCs w:val="24"/>
        </w:rPr>
        <w:t>Стратегічною метою державної політики в межах реформування системи шкільного харчування на період до 2027 року є забезпечення різноманітного, збалансованого і якісного харчування в закладах освіти, що, зокрема, сприяє соціальному захисту вразливих груп населення, формуванню у громадян навичок, усвідомленому вибору здорового харчування (як прояву піклування про власне здоров’я та психологічний стан у критичних умовах).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мети: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зниження відсотка ожиріння серед дітей віком до 18 років;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рівень задоволеності учнів харчуванням у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 харчових уподобань дітей шкільного віку;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збільшення кількості учнів, які харчуються у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комплексно модернізованих/відновлених харчоблоків.</w:t>
      </w:r>
    </w:p>
    <w:p w:rsidR="00A45E0B" w:rsidRPr="00224B79" w:rsidRDefault="00A45E0B" w:rsidP="00224B79">
      <w:pPr>
        <w:pStyle w:val="a"/>
        <w:spacing w:before="0"/>
        <w:jc w:val="both"/>
        <w:rPr>
          <w:rFonts w:ascii="Times New Roman" w:hAnsi="Times New Roman"/>
          <w:sz w:val="24"/>
          <w:szCs w:val="24"/>
        </w:rPr>
      </w:pPr>
      <w:bookmarkStart w:id="6" w:name="_heading=h.tyjcwt"/>
      <w:bookmarkEnd w:id="6"/>
      <w:r w:rsidRPr="00224B79">
        <w:rPr>
          <w:rFonts w:ascii="Times New Roman" w:hAnsi="Times New Roman"/>
          <w:sz w:val="24"/>
          <w:szCs w:val="24"/>
        </w:rPr>
        <w:t>Стратегічна мета досягається на основі чотирьох стратегічних цілей.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Стратегічна ціль 1.</w:t>
      </w:r>
      <w:r w:rsidRPr="00224B79">
        <w:rPr>
          <w:rFonts w:ascii="Times New Roman" w:hAnsi="Times New Roman"/>
          <w:sz w:val="24"/>
          <w:szCs w:val="24"/>
        </w:rPr>
        <w:t xml:space="preserve"> Достатність фінансового ресурсу у замовників для закупівель харчових продуктів чи послуг з організації харчування та здійснення закупівель просто та ефективно.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bookmarkStart w:id="7" w:name="_Hlk130810721"/>
      <w:r w:rsidRPr="00224B79">
        <w:rPr>
          <w:rFonts w:ascii="Times New Roman" w:hAnsi="Times New Roman"/>
          <w:b/>
          <w:sz w:val="24"/>
          <w:szCs w:val="24"/>
        </w:rPr>
        <w:t>Показники досягнення стратегічної цілі:</w:t>
      </w:r>
    </w:p>
    <w:bookmarkEnd w:id="7"/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вартості харчуван</w:t>
      </w:r>
      <w:bookmarkStart w:id="8" w:name="_Hlk149046917"/>
      <w:r w:rsidRPr="00224B79">
        <w:rPr>
          <w:rFonts w:ascii="Times New Roman" w:hAnsi="Times New Roman"/>
          <w:sz w:val="24"/>
          <w:szCs w:val="24"/>
        </w:rPr>
        <w:t>ня для пільгових категорій осіб громад</w:t>
      </w:r>
      <w:bookmarkEnd w:id="8"/>
      <w:r w:rsidRPr="00224B79">
        <w:rPr>
          <w:rFonts w:ascii="Times New Roman" w:hAnsi="Times New Roman"/>
          <w:sz w:val="24"/>
          <w:szCs w:val="24"/>
        </w:rPr>
        <w:t>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кількості неякісних харчових продуктів, зокрема таких, що не відповідають заявленим характеристикам;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кількості скарг на закупівлі.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Забезпечення достатнього фінансування для якісних закупівель.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комунікація з представниками місцевого самоврядування щодо особливостей і вимог до забезпечення харчування в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установлення нижньої межі вартості харчування на одну дитину;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продовження надання субвенції з державного бюджету місцевим бюджетам на модернізацію харчоблоків (на умовах співфінансування);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 xml:space="preserve"> залучення коштів до місцевих бюджетів у вигляді субвенції з державного бюджету для забезпечення харчування в закладах освіти дітей пільгових категорій;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розгляд питання щодо можливості розширення переліку категорій дітей, що забезпечуються безоплатним харчуванням у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сприяння залученню додаткових інвестицій, спрямованих на покращення харчування в закладах освіти.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Зрозумілість і доступність процедури закупівель для замовників, а також механізмів впливу на постачальників харчових продуктів/послуг харчування.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3.</w:t>
      </w:r>
      <w:r w:rsidRPr="00224B79">
        <w:rPr>
          <w:rFonts w:ascii="Times New Roman" w:hAnsi="Times New Roman"/>
          <w:sz w:val="24"/>
          <w:szCs w:val="24"/>
        </w:rPr>
        <w:t xml:space="preserve"> Заінтересованість підприємств та підприємців у роботі із закладами освіти.</w:t>
      </w:r>
    </w:p>
    <w:p w:rsidR="00A45E0B" w:rsidRPr="00224B79" w:rsidRDefault="00A45E0B" w:rsidP="00224B79">
      <w:pPr>
        <w:pStyle w:val="a"/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Завдання, спрямовані на виконання Операційної цілі 3, — популяризація електронного каталогу “Prozorro Market”.</w:t>
      </w:r>
    </w:p>
    <w:p w:rsidR="00A45E0B" w:rsidRPr="00224B79" w:rsidRDefault="00A45E0B" w:rsidP="00224B79">
      <w:pPr>
        <w:pStyle w:val="a"/>
        <w:spacing w:before="0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Очікуваний результат — підвищення ефективності закупівельних процедур.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Стратегічна ціль 2.</w:t>
      </w:r>
      <w:r w:rsidRPr="00224B79">
        <w:rPr>
          <w:rFonts w:ascii="Times New Roman" w:hAnsi="Times New Roman"/>
          <w:sz w:val="24"/>
          <w:szCs w:val="24"/>
        </w:rPr>
        <w:t xml:space="preserve"> Відновлення та модернізація харчоблоків закладів освіти з використанням новітніх технологічних процесів, покращення показників енергоефективності та дотримання принципів системи НАССР.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цілі: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учнів (громадян), що забезпечуються харчуванням у закладах освіти з відновленими/модернізованими харчоблоками;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працівників, відповідальних за організацію харчування дітей та безпечність харчових продуктів (у розрізі посад), які пройшли навчання, зокрема кількість працівників, які підтвердили свої знання щодо системи безпечності харчових продуктів;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зменшення кількість випадків харчових отруєнь в закладах освіти (за типом організації харчування).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Завдяки відновленій та модернізованій мережі харчоблоків закладів освіти із застосуванням трьох технологічних моделей забезпечення учнів повноцінним, безпечним та різноманітним харчуванням (та інших груп населення за потреби та можливості).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визначення потреб закладів освіти, зокрема щодо модернізації харчоблоків, що дасть змогу передбачити пріоритетність проектів;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встановлення нормативних вимог до проектування приміщень харчоблоків закладів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спрямування коштів державного, місцевих бюджетів і коштів, залучених від донорських організацій, на відновлення та розвиток освітньої інфраструктури;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впровадження проектів з будівництва/відновлення/модернізації харчоблоків у закладах загальної середньої освіти, в основі яких лежить сучасний технологічний процес, що забезпечує дотримання норм на принципах системи НАССР, та приготування якісної та безпечної їжі в асортименті.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Спроможність закладів освіти впровадити та підтримувати дієву систему НАССР.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2: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визначення цільових груп для комунікації та сприяння проведенню спільної інформаційно-комунікаційної кампанії;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системності та регулярності підвищення кваліфікації, оновлення знань;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створення умов для перевірки знань, зокрема з використанням тестування на онлайн-платформах.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i/>
          <w:sz w:val="24"/>
          <w:szCs w:val="24"/>
        </w:rPr>
      </w:pPr>
      <w:r w:rsidRPr="00224B79">
        <w:rPr>
          <w:rFonts w:ascii="Times New Roman" w:hAnsi="Times New Roman"/>
          <w:i/>
          <w:sz w:val="24"/>
          <w:szCs w:val="24"/>
        </w:rPr>
        <w:t>Очікувані результати щодо Стратегічної цілі 2: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відновлення освітньої інфраструктури;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оптимізація ресурсів, необхідних для організації харчування внаслідок комплексної модернізації харчоблоків та впровадження ефективних моделей;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покращення умов безпечності харчування в закладах освіти.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Стратегічна ціль 3.</w:t>
      </w:r>
      <w:r w:rsidRPr="00224B79">
        <w:rPr>
          <w:rFonts w:ascii="Times New Roman" w:hAnsi="Times New Roman"/>
          <w:sz w:val="24"/>
          <w:szCs w:val="24"/>
        </w:rPr>
        <w:t xml:space="preserve"> Забезпечення органів місцевого самоврядування і закладів освіти достатнім штатом кваліфікованих працівників, які якісно та безпечно організовують харчування і сприяють формуванню в учнів здорових харчових звичок</w:t>
      </w:r>
      <w:bookmarkStart w:id="9" w:name="_heading=h.adwy2c6au59u"/>
      <w:bookmarkEnd w:id="9"/>
      <w:r w:rsidRPr="00224B79">
        <w:rPr>
          <w:rFonts w:ascii="Times New Roman" w:hAnsi="Times New Roman"/>
          <w:sz w:val="24"/>
          <w:szCs w:val="24"/>
        </w:rPr>
        <w:t>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цілі: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підвищення заробітної плати (відповідно до середньої ринкової оплати праці аналогічних посад у приватному секторі);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випускників за оновленими програмами, з них працевлаштованих у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кухарів, які підвищили кваліфікацію, на рік;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педагогічних працівників (здоров’язбережувальна галузь), які підвищили кваліфікацію за оновленими програмами;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керівників закладів освіти, які пройшли навчання щодо впровадження реформи системи шкільного харчування;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відсоток посадових осіб місцевого самоврядування, до компетенції яких належать питання організації харчування у закладах освіти, які взяли участь в консультаційних заходах щодо організації якісного та безпечного харчування;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створених інструментів для скорочення оперативної звітності щодо організації харчування;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промоційних заходів;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розроблених дидактичних матеріалів.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Забезпечення закладів освіти мотивованими та професійними медичними працівниками та працівниками харчоблоків.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перегляд умов оплати праці працівників харчоблоків і сестер медичних у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перегляд типових штатних нормативів щодо працівників, які забезпечують організацію харчування в закладах освіти (зокрема щодо сестер медичних з дієтичного харчування);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підготовки/підвищення кваліфікації кухарів через відповідні регіональні та/або місцеві програми;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розроблення професійного стандарту освіти за професією “Кухар закладу освіти”;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затвердження програм з підвищення кваліфікації з питання щодо реформування системи шкільного харчування, розроблення нових навчальних матеріалів та оновлення існуючих;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інформування про переваги співпраці органів місцевого самоврядування із закладами професійної (професійно-технічної) освіти з питань перепідготовки кухарів.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Набуття педагогічними працівниками та керівниками закладів освіти, науково-педагогічними працівниками інститутів післядипломної освіти відповідних компетентностей і сприяння формуванню навичок здорового харчування учнів та їх батьків.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2: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навчання працівників закладів освіти, залучених до підвищення кваліфікації вчителів (здоров’язбережувальна галузь);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оновлення програм підвищення кваліфікації педагогічних працівників (здоров’язбережувальна галузь) закладів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навчання керівників закладів освіти організації харчування та формування навичок здорового харчування в закладах освіти.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3.</w:t>
      </w:r>
      <w:r w:rsidRPr="00224B79">
        <w:rPr>
          <w:rFonts w:ascii="Times New Roman" w:hAnsi="Times New Roman"/>
          <w:sz w:val="24"/>
          <w:szCs w:val="24"/>
        </w:rPr>
        <w:t xml:space="preserve"> Ефективне впровадження органами місцевого самоврядування реформи системи шкільного харчування.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3: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надання консультацій і роз’яснень щодо впровадження реформи системи шкільного харчування посадовим особам місцевого самоврядування та депутатам місцевих рад;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розгляд питання щодо можливості введення посади технолога громадського харчування у структурному підрозділі з питань освіти виконавчого органу сільської, селищної, міської ради/закладі освіти та сприяння розвитку надання відповідних послуг;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створення цифрових інструментів для зниження бюрократичного навантаження на посадових осіб місцевого самоврядування, до компетенції яких належать питання організації харчування у закладах освіти, і працівників закладів освіти щодо впровадження реформи системи шкільного харчування (зокрема щодо формування меню та аналізу його дотримання, потреб у закупівлях).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Очікувані результати щодо Стратегічної цілі 3: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набуття посадовими особами місцевого самоврядування, до компетенції яких відносяться питання організації харчування у закладах освіти, і працівниками закладів освіти компетентностей, необхідних для якісної організації харчування в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набуття працівниками закладів освіти компетентностей, необхідних для формування навичок здорового харчування у здобувачів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покращення якості харчування в закладах освіти завдяки навчанню та підвищенню кваліфікації кухарів.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 xml:space="preserve">Стратегічна ціль 4. </w:t>
      </w:r>
      <w:r w:rsidRPr="00224B79">
        <w:rPr>
          <w:rFonts w:ascii="Times New Roman" w:hAnsi="Times New Roman"/>
          <w:sz w:val="24"/>
          <w:szCs w:val="24"/>
        </w:rPr>
        <w:t>Свідоме обрання українцями здорового харчування.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Показники досягнення стратегічної цілі: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рекомендоване примірне чотиритижневе меню, яке враховує всі сезони;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поширених технологічних карток страв для закладів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кількість освітнього контенту (різного типу);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показники відвідування веб-порталу “ЗНАЇМО”;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частка учнів, які погоджуються з тим, що в освітньому процесі формуються навички здорового харчування та збереження здоров’я;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 харчових уподобань дітей шкільного віку.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bookmarkStart w:id="10" w:name="_heading=h.88fgvt916sa2"/>
      <w:bookmarkStart w:id="11" w:name="_heading=h.banbhv11wtdz"/>
      <w:bookmarkEnd w:id="10"/>
      <w:bookmarkEnd w:id="11"/>
      <w:r w:rsidRPr="00224B79">
        <w:rPr>
          <w:rFonts w:ascii="Times New Roman" w:hAnsi="Times New Roman"/>
          <w:b/>
          <w:sz w:val="24"/>
          <w:szCs w:val="24"/>
        </w:rPr>
        <w:t>Операційна ціль 1.</w:t>
      </w:r>
      <w:r w:rsidRPr="00224B79">
        <w:rPr>
          <w:rFonts w:ascii="Times New Roman" w:hAnsi="Times New Roman"/>
          <w:sz w:val="24"/>
          <w:szCs w:val="24"/>
        </w:rPr>
        <w:t xml:space="preserve"> Повноцінне, збалансоване харчування учнів у закладах освіти, яке відповідає затвердженим нормам.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1: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затвердження примірних чотиритижневих сезонних меню для закладів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розширення переліку страв і технологічних карток (рецептури) для харчування в закладах освіти;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розроблення рекомендацій і нормативно-правових актів щодо організації харчування в закладах освіти на період воєнного стану;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забезпечення організації харчування в закладах освіти органами місцевого самоврядування.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2.</w:t>
      </w:r>
      <w:r w:rsidRPr="00224B79">
        <w:rPr>
          <w:rFonts w:ascii="Times New Roman" w:hAnsi="Times New Roman"/>
          <w:sz w:val="24"/>
          <w:szCs w:val="24"/>
        </w:rPr>
        <w:t xml:space="preserve"> Сприяння свідомому вибору здорового харчування через освіту.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2: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підготовка та поширення дидактичних та освітніх матеріалів про принципи здорового харчування та збереження фізичного здоров’я;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підготовка та поширення матеріалів про вплив здорового харчування на покращення психологічного стану;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формування в освітньому середовищі інформаційного поля для розуміння навичок здорового харчування та збереження здоров’я шляхом застосування нових форм передачі знань (навчальні візити, майстер-класи, дегустації тощо).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Операційна ціль 3.</w:t>
      </w:r>
      <w:r w:rsidRPr="00224B79">
        <w:rPr>
          <w:rFonts w:ascii="Times New Roman" w:hAnsi="Times New Roman"/>
          <w:sz w:val="24"/>
          <w:szCs w:val="24"/>
        </w:rPr>
        <w:t xml:space="preserve"> Доступність та зрозумілість інформації про здорове харчування.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i/>
          <w:sz w:val="24"/>
          <w:szCs w:val="24"/>
        </w:rPr>
      </w:pPr>
      <w:r w:rsidRPr="00224B79">
        <w:rPr>
          <w:rFonts w:ascii="Times New Roman" w:hAnsi="Times New Roman"/>
          <w:b/>
          <w:i/>
          <w:sz w:val="24"/>
          <w:szCs w:val="24"/>
        </w:rPr>
        <w:t>Завдання, спрямовані на виконання Операційної цілі 3: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розвиток функціоналу та поширення інформації про веб-портал “ЗНАЇМО”;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залучення лідерів думок, “спікерів реформи” до підвищення рівня поінформованості про зміни.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b/>
          <w:sz w:val="24"/>
          <w:szCs w:val="24"/>
        </w:rPr>
      </w:pPr>
      <w:r w:rsidRPr="00224B79">
        <w:rPr>
          <w:rFonts w:ascii="Times New Roman" w:hAnsi="Times New Roman"/>
          <w:b/>
          <w:sz w:val="24"/>
          <w:szCs w:val="24"/>
        </w:rPr>
        <w:t>Очікувані результати щодо Стратегічної цілі 4: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впровадження у закладах освіти нового меню;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підвищення обізнаності населення у принципах здорового харчування;</w:t>
      </w:r>
    </w:p>
    <w:p w:rsidR="00A45E0B" w:rsidRPr="00224B79" w:rsidRDefault="00A45E0B" w:rsidP="00224B79">
      <w:pPr>
        <w:pStyle w:val="a"/>
        <w:numPr>
          <w:ilvl w:val="0"/>
          <w:numId w:val="7"/>
        </w:numPr>
        <w:spacing w:before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зміна харчових уподобань населення на користь здорового харчування.</w:t>
      </w:r>
    </w:p>
    <w:p w:rsidR="00A45E0B" w:rsidRPr="00224B79" w:rsidRDefault="00A45E0B" w:rsidP="00224B79">
      <w:pPr>
        <w:pStyle w:val="a0"/>
        <w:spacing w:before="120" w:after="120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Фінансове забезпечення</w:t>
      </w:r>
    </w:p>
    <w:p w:rsidR="00A45E0B" w:rsidRPr="00224B79" w:rsidRDefault="00A45E0B" w:rsidP="00224B79">
      <w:pPr>
        <w:pStyle w:val="a"/>
        <w:jc w:val="both"/>
        <w:rPr>
          <w:rFonts w:ascii="Times New Roman" w:hAnsi="Times New Roman"/>
          <w:sz w:val="24"/>
          <w:szCs w:val="24"/>
        </w:rPr>
      </w:pPr>
      <w:r w:rsidRPr="00224B79">
        <w:rPr>
          <w:rFonts w:ascii="Times New Roman" w:hAnsi="Times New Roman"/>
          <w:sz w:val="24"/>
          <w:szCs w:val="24"/>
        </w:rPr>
        <w:t>Реалізація Стратегії здійснюватиметься за рахунок коштів державного і місцевих бюджетів, а також інших джерел, не заборонених законодавством.</w:t>
      </w:r>
    </w:p>
    <w:p w:rsidR="00A45E0B" w:rsidRDefault="00A45E0B" w:rsidP="00224B79">
      <w:pPr>
        <w:spacing w:line="240" w:lineRule="auto"/>
        <w:rPr>
          <w:color w:val="000000"/>
          <w:lang w:val="uk-UA"/>
        </w:rPr>
      </w:pPr>
    </w:p>
    <w:p w:rsidR="00A45E0B" w:rsidRPr="00C567B5" w:rsidRDefault="00A45E0B" w:rsidP="00224B79">
      <w:pPr>
        <w:spacing w:line="240" w:lineRule="auto"/>
        <w:rPr>
          <w:color w:val="000000"/>
          <w:lang w:val="uk-UA"/>
        </w:rPr>
      </w:pPr>
    </w:p>
    <w:p w:rsidR="00A45E0B" w:rsidRPr="00817CBF" w:rsidRDefault="00A45E0B" w:rsidP="00C567B5">
      <w:pPr>
        <w:rPr>
          <w:b/>
        </w:rPr>
      </w:pPr>
      <w:r w:rsidRPr="00817CBF">
        <w:rPr>
          <w:b/>
        </w:rPr>
        <w:t>Керуюча справами (секретар)</w:t>
      </w:r>
    </w:p>
    <w:p w:rsidR="00A45E0B" w:rsidRPr="00817CBF" w:rsidRDefault="00A45E0B" w:rsidP="00C567B5">
      <w:pPr>
        <w:rPr>
          <w:b/>
        </w:rPr>
      </w:pPr>
      <w:r w:rsidRPr="00817CBF">
        <w:rPr>
          <w:b/>
        </w:rPr>
        <w:t xml:space="preserve">виконавчого комітету міської  ради  </w:t>
      </w:r>
      <w:r>
        <w:rPr>
          <w:b/>
        </w:rPr>
        <w:t xml:space="preserve">                                         </w:t>
      </w:r>
      <w:r w:rsidRPr="00817CBF">
        <w:rPr>
          <w:b/>
        </w:rPr>
        <w:t xml:space="preserve">       </w:t>
      </w:r>
      <w:r>
        <w:rPr>
          <w:b/>
          <w:lang w:val="uk-UA"/>
        </w:rPr>
        <w:t xml:space="preserve">      </w:t>
      </w:r>
      <w:r w:rsidRPr="00817CBF">
        <w:rPr>
          <w:b/>
        </w:rPr>
        <w:t>Ярослава  РАКОВІЦА</w:t>
      </w:r>
    </w:p>
    <w:p w:rsidR="00A45E0B" w:rsidRPr="00224B79" w:rsidRDefault="00A45E0B" w:rsidP="00224B79">
      <w:pPr>
        <w:spacing w:line="240" w:lineRule="auto"/>
      </w:pPr>
    </w:p>
    <w:sectPr w:rsidR="00A45E0B" w:rsidRPr="00224B79" w:rsidSect="002B521E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E0B" w:rsidRDefault="00A45E0B">
      <w:pPr>
        <w:spacing w:line="240" w:lineRule="auto"/>
      </w:pPr>
      <w:r>
        <w:separator/>
      </w:r>
    </w:p>
  </w:endnote>
  <w:endnote w:type="continuationSeparator" w:id="0">
    <w:p w:rsidR="00A45E0B" w:rsidRDefault="00A45E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E0B" w:rsidRDefault="00A45E0B">
      <w:pPr>
        <w:spacing w:line="240" w:lineRule="auto"/>
      </w:pPr>
      <w:r>
        <w:separator/>
      </w:r>
    </w:p>
  </w:footnote>
  <w:footnote w:type="continuationSeparator" w:id="0">
    <w:p w:rsidR="00A45E0B" w:rsidRDefault="00A45E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E3C01"/>
    <w:multiLevelType w:val="multilevel"/>
    <w:tmpl w:val="6ED2D06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8B304CF"/>
    <w:multiLevelType w:val="hybridMultilevel"/>
    <w:tmpl w:val="7696DD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C10FC7"/>
    <w:multiLevelType w:val="hybridMultilevel"/>
    <w:tmpl w:val="D550E57E"/>
    <w:lvl w:ilvl="0" w:tplc="BEE4BF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41B92284"/>
    <w:multiLevelType w:val="hybridMultilevel"/>
    <w:tmpl w:val="EE68B86C"/>
    <w:lvl w:ilvl="0" w:tplc="EEEEAB3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A20FD5"/>
    <w:multiLevelType w:val="multilevel"/>
    <w:tmpl w:val="17547B2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ACC6582"/>
    <w:multiLevelType w:val="hybridMultilevel"/>
    <w:tmpl w:val="69CACA4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DF949B8"/>
    <w:multiLevelType w:val="hybridMultilevel"/>
    <w:tmpl w:val="8DEAAB74"/>
    <w:lvl w:ilvl="0" w:tplc="75F26A6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7649"/>
    <w:rsid w:val="00003B60"/>
    <w:rsid w:val="0002025F"/>
    <w:rsid w:val="00065C9A"/>
    <w:rsid w:val="00097D94"/>
    <w:rsid w:val="000B1B57"/>
    <w:rsid w:val="00126014"/>
    <w:rsid w:val="0014435F"/>
    <w:rsid w:val="00151B6F"/>
    <w:rsid w:val="001721D2"/>
    <w:rsid w:val="001A4B9A"/>
    <w:rsid w:val="00224B79"/>
    <w:rsid w:val="002669D8"/>
    <w:rsid w:val="002B521E"/>
    <w:rsid w:val="002E2E4D"/>
    <w:rsid w:val="00306C8E"/>
    <w:rsid w:val="003A0073"/>
    <w:rsid w:val="003A0875"/>
    <w:rsid w:val="00435611"/>
    <w:rsid w:val="00560020"/>
    <w:rsid w:val="00563570"/>
    <w:rsid w:val="0058571A"/>
    <w:rsid w:val="005D33CD"/>
    <w:rsid w:val="00611506"/>
    <w:rsid w:val="0062451B"/>
    <w:rsid w:val="006911AA"/>
    <w:rsid w:val="006E0A12"/>
    <w:rsid w:val="006E4F62"/>
    <w:rsid w:val="007076C5"/>
    <w:rsid w:val="007319BF"/>
    <w:rsid w:val="00735B68"/>
    <w:rsid w:val="00745BC6"/>
    <w:rsid w:val="00761231"/>
    <w:rsid w:val="007B6EA5"/>
    <w:rsid w:val="00817CBF"/>
    <w:rsid w:val="00840E0C"/>
    <w:rsid w:val="008959B1"/>
    <w:rsid w:val="00896974"/>
    <w:rsid w:val="008977E3"/>
    <w:rsid w:val="008D625C"/>
    <w:rsid w:val="008E1E32"/>
    <w:rsid w:val="008E1E3C"/>
    <w:rsid w:val="008E7C87"/>
    <w:rsid w:val="009A27BF"/>
    <w:rsid w:val="009A6550"/>
    <w:rsid w:val="009B7046"/>
    <w:rsid w:val="009E104E"/>
    <w:rsid w:val="00A36AE0"/>
    <w:rsid w:val="00A45E0B"/>
    <w:rsid w:val="00AB280D"/>
    <w:rsid w:val="00B45EB0"/>
    <w:rsid w:val="00C26B62"/>
    <w:rsid w:val="00C567B5"/>
    <w:rsid w:val="00CA1BB0"/>
    <w:rsid w:val="00CF43CF"/>
    <w:rsid w:val="00D235E3"/>
    <w:rsid w:val="00D52D7D"/>
    <w:rsid w:val="00D631FF"/>
    <w:rsid w:val="00E34709"/>
    <w:rsid w:val="00F27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B9A"/>
    <w:pPr>
      <w:suppressAutoHyphens/>
      <w:spacing w:line="100" w:lineRule="atLeast"/>
    </w:pPr>
    <w:rPr>
      <w:rFonts w:ascii="Times New Roman" w:eastAsia="Times New Roman" w:hAnsi="Times New Roman"/>
      <w:kern w:val="2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F27649"/>
    <w:pPr>
      <w:suppressAutoHyphens w:val="0"/>
      <w:spacing w:line="240" w:lineRule="auto"/>
      <w:ind w:firstLine="709"/>
      <w:jc w:val="both"/>
    </w:pPr>
    <w:rPr>
      <w:kern w:val="0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27649"/>
    <w:rPr>
      <w:rFonts w:ascii="Times New Roman" w:hAnsi="Times New Roman" w:cs="Times New Roman"/>
      <w:sz w:val="24"/>
      <w:lang w:eastAsia="ru-RU"/>
    </w:rPr>
  </w:style>
  <w:style w:type="paragraph" w:customStyle="1" w:styleId="docdata">
    <w:name w:val="docdata"/>
    <w:aliases w:val="docy,v5,2331,baiaagaaboqcaaad8aqaaax+baa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F27649"/>
    <w:pPr>
      <w:suppressAutoHyphens w:val="0"/>
      <w:spacing w:before="100" w:beforeAutospacing="1" w:after="100" w:afterAutospacing="1" w:line="240" w:lineRule="auto"/>
    </w:pPr>
    <w:rPr>
      <w:kern w:val="0"/>
    </w:rPr>
  </w:style>
  <w:style w:type="paragraph" w:styleId="ListParagraph">
    <w:name w:val="List Paragraph"/>
    <w:basedOn w:val="Normal"/>
    <w:uiPriority w:val="99"/>
    <w:qFormat/>
    <w:rsid w:val="00D52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a">
    <w:name w:val="Нормальний текст"/>
    <w:basedOn w:val="Normal"/>
    <w:uiPriority w:val="99"/>
    <w:rsid w:val="001A4B9A"/>
    <w:pPr>
      <w:suppressAutoHyphens w:val="0"/>
      <w:spacing w:before="120" w:line="240" w:lineRule="auto"/>
      <w:ind w:firstLine="567"/>
    </w:pPr>
    <w:rPr>
      <w:rFonts w:ascii="Antiqua" w:hAnsi="Antiqua"/>
      <w:kern w:val="0"/>
      <w:sz w:val="26"/>
      <w:szCs w:val="20"/>
      <w:lang w:val="uk-UA"/>
    </w:rPr>
  </w:style>
  <w:style w:type="paragraph" w:customStyle="1" w:styleId="a0">
    <w:name w:val="Назва документа"/>
    <w:basedOn w:val="Normal"/>
    <w:next w:val="a"/>
    <w:uiPriority w:val="99"/>
    <w:rsid w:val="001A4B9A"/>
    <w:pPr>
      <w:keepNext/>
      <w:keepLines/>
      <w:suppressAutoHyphens w:val="0"/>
      <w:spacing w:before="240" w:after="240" w:line="240" w:lineRule="auto"/>
      <w:jc w:val="center"/>
    </w:pPr>
    <w:rPr>
      <w:rFonts w:ascii="Antiqua" w:hAnsi="Antiqua"/>
      <w:b/>
      <w:kern w:val="0"/>
      <w:sz w:val="26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8D62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625C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2440</Words>
  <Characters>13913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ЗАТВЕРЖЕНО</dc:title>
  <dc:subject/>
  <dc:creator>Віталій</dc:creator>
  <cp:keywords/>
  <dc:description/>
  <cp:lastModifiedBy>пк</cp:lastModifiedBy>
  <cp:revision>5</cp:revision>
  <dcterms:created xsi:type="dcterms:W3CDTF">2024-05-02T10:05:00Z</dcterms:created>
  <dcterms:modified xsi:type="dcterms:W3CDTF">2024-05-03T07:52:00Z</dcterms:modified>
</cp:coreProperties>
</file>