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r/>
      <w:bookmarkStart w:id="0" w:name="_Hlk479844739"/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71jw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71jw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71jw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7"/>
        <w:spacing w:after="0" w:line="240" w:lineRule="auto"/>
        <w:jc w:val="center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b/>
          <w:sz w:val="20"/>
          <w:szCs w:val="24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uk-ua" w:eastAsia="zh-cn" w:bidi="ar-sa"/>
        </w:rPr>
        <w:t>Р І Ш Е Н Н Я №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  <w:t xml:space="preserve"> 266/8</w:t>
        <w:tab/>
        <w:tab/>
        <w:tab/>
        <w:tab/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pPr>
      <w:r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en-gb" w:eastAsia="zh-cn" w:bidi="ar-sa"/>
        </w:rPr>
        <w:t xml:space="preserve">XXX (позачергової) 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сесії Кіцманської міської ради VІІI скликання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від  30 серпня 2023 року                                                                                              м. Кіцмань</w:t>
      </w:r>
    </w:p>
    <w:p>
      <w:pPr>
        <w:rPr>
          <w:lang w:val="uk-ua"/>
        </w:rPr>
      </w:pPr>
      <w:r>
        <w:rPr>
          <w:lang w:val="uk-ua"/>
        </w:rPr>
      </w:r>
    </w:p>
    <w:p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передачу </w:t>
      </w:r>
    </w:p>
    <w:p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майна комунальної власності </w:t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Розглянувши листи КУ «Кіцманський територіальний центр соціального обслуговування (надання соціальних послуг)» Кіцманської міської ради від 23.08.2023 р. №308 та КНП «Кіцманський центр первинної медичної допомоги» від 23.08.2023 р. №696,   керуючись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автомобіль марки 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>OPEL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>COMBO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номерний знак СЕ 3041 АА.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майна комунальної власності, що додається (додаток 1). </w:t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здійснити передачу майна 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акт приймання-передачі на затвердження  міському голові.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  <w:t>Додаток 1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до рішення XXX(позачергової)сесії Кіцманської міської ради VIII скликання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 xml:space="preserve">від  30.08.2023р. </w:t>
      </w:r>
      <w:r>
        <w:rPr>
          <w:rFonts w:ascii="Segoe UI Symbol" w:hAnsi="Segoe UI Symbol" w:eastAsia="Segoe UI Symbol" w:cs="Segoe UI Symbol"/>
          <w:kern w:val="1"/>
          <w:sz w:val="24"/>
          <w:szCs w:val="24"/>
          <w:lang w:val="uk-ua" w:eastAsia="zh-cn" w:bidi="ar-sa"/>
        </w:rPr>
        <w:t>№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  <w:t> 266/8</w:t>
      </w:r>
    </w:p>
    <w:p>
      <w:pPr>
        <w:suppressAutoHyphens/>
        <w:hyphenationLines w:val="0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>комісії для передачі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майна комунальної власності</w:t>
      </w:r>
    </w:p>
    <w:p>
      <w:pPr>
        <w:pStyle w:val="para6"/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137" w:type="dxa"/>
        <w:tblW w:w="9588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88" w:type="dxa"/>
            <w:gridSpan w:val="3"/>
            <w:tmTcPr id="1693473007" protected="0"/>
          </w:tcPr>
          <w:p>
            <w:pPr>
              <w:pStyle w:val="para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правового забезпечення </w:t>
            </w:r>
            <w:r/>
            <w:bookmarkStart w:id="1" w:name="_GoBack"/>
            <w:r/>
            <w:bookmarkEnd w:id="1"/>
            <w:r/>
            <w:r>
              <w:rPr>
                <w:rFonts w:ascii="Times New Roman" w:hAnsi="Times New Roman"/>
                <w:sz w:val="24"/>
                <w:szCs w:val="24"/>
              </w:rPr>
              <w:t>виконавчого комітету міської ради;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інженер з охорони праці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РУХТУРАК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БЛЯХАРСЬКА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ФІВЧУК</w:t>
            </w:r>
          </w:p>
        </w:tc>
        <w:tc>
          <w:tcPr>
            <w:tcW w:w="56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007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провідний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  <w:tab/>
        <w:tab/>
        <w:tab/>
        <w:tab/>
        <w:tab/>
        <w:tab/>
        <w:tab/>
        <w:t xml:space="preserve">   Петро ЧУПРИНА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и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ий список 7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32"/>
      <w:tmLastPosIdx w:val="23"/>
    </w:tmLastPosCaret>
    <w:tmLastPosAnchor>
      <w:tmLastPosPgfIdx w:val="0"/>
      <w:tmLastPosIdx w:val="0"/>
    </w:tmLastPosAnchor>
    <w:tmLastPosTblRect w:left="0" w:top="0" w:right="0" w:bottom="0"/>
  </w:tmLastPos>
  <w:tmAppRevision w:date="1693473007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7</cp:revision>
  <cp:lastPrinted>2023-08-25T10:46:00Z</cp:lastPrinted>
  <dcterms:created xsi:type="dcterms:W3CDTF">2023-08-25T10:04:00Z</dcterms:created>
  <dcterms:modified xsi:type="dcterms:W3CDTF">2023-08-31T09:10:07Z</dcterms:modified>
</cp:coreProperties>
</file>